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AEE5D">
      <w:pPr>
        <w:spacing w:line="360" w:lineRule="auto"/>
        <w:outlineLvl w:val="0"/>
        <w:rPr>
          <w:rFonts w:cs="Times New Roman" w:asciiTheme="minorEastAsia" w:hAnsiTheme="minorEastAsia" w:eastAsiaTheme="minorEastAsia"/>
          <w:b/>
          <w:szCs w:val="24"/>
          <w14:ligatures w14:val="none"/>
        </w:rPr>
      </w:pPr>
      <w:bookmarkStart w:id="0" w:name="_Toc10696"/>
      <w:bookmarkStart w:id="1" w:name="_Toc377"/>
      <w:bookmarkStart w:id="2" w:name="_Toc18879"/>
      <w:bookmarkStart w:id="3" w:name="_Toc190683549"/>
      <w:bookmarkStart w:id="4" w:name="_Toc191917208"/>
      <w:bookmarkStart w:id="5" w:name="_Hlk190696001"/>
      <w:r>
        <w:rPr>
          <w:rFonts w:hint="eastAsia" w:cs="Times New Roman" w:asciiTheme="minorEastAsia" w:hAnsiTheme="minorEastAsia" w:eastAsiaTheme="minorEastAsia"/>
          <w:b/>
          <w:szCs w:val="24"/>
          <w14:ligatures w14:val="none"/>
        </w:rPr>
        <w:t>一、项目背景</w:t>
      </w:r>
    </w:p>
    <w:p w14:paraId="58CEC2A7">
      <w:pPr>
        <w:adjustRightInd w:val="0"/>
        <w:snapToGrid w:val="0"/>
        <w:spacing w:line="360" w:lineRule="auto"/>
        <w:ind w:firstLine="480" w:firstLineChars="200"/>
        <w:jc w:val="left"/>
      </w:pPr>
      <w:r>
        <w:rPr>
          <w:rFonts w:hint="eastAsia"/>
        </w:rPr>
        <w:t>天津市口腔医院始建于</w:t>
      </w:r>
      <w:r>
        <w:t>1947年，是集临床、教学、科研、预防为一体的三级甲等口腔专科医院。2008年经批准成为南开大学附属口腔医院，同时医院也是天津市整形外科医院。医院坐落在美丽的天津母亲河——海河河畔（和平区大沽北路75号），与繁华商业街劝业场、滨江道、和平路相邻，交通十分便利。2010年成立第一门诊部（河西），位于河西区黑牛城道73号；2022年成立第二门诊部（南开），位于南开区南开三马路117号；2023年梅江院区增建工程正式动工，位于西青区津门湖街梅江西路以东。医院设有22个临床科室，编制住院病床80张，口腔综合治疗台228台，</w:t>
      </w:r>
      <w:r>
        <w:rPr>
          <w:rFonts w:hint="eastAsia"/>
        </w:rPr>
        <w:t>医院年门急诊服务</w:t>
      </w:r>
      <w:r>
        <w:t>111万余人次，年出院患者2300余人。</w:t>
      </w:r>
    </w:p>
    <w:p w14:paraId="7553CB1B">
      <w:pPr>
        <w:adjustRightInd w:val="0"/>
        <w:snapToGrid w:val="0"/>
        <w:spacing w:line="360" w:lineRule="auto"/>
        <w:ind w:firstLine="480" w:firstLineChars="200"/>
        <w:jc w:val="left"/>
      </w:pPr>
      <w:r>
        <w:rPr>
          <w:rFonts w:hint="eastAsia"/>
        </w:rPr>
        <w:t>梅江院区选址西青区津门湖板块，紧邻梅江成熟生活区与城市快速路，服务范围覆盖河西区、西青区及环城区域近百万居民，填补了该区域大型公立口腔专科医院的资源空白。经过三年的规划建设，梅江院区即将于</w:t>
      </w:r>
      <w:r>
        <w:t>2026年年底竣工试运营，项目总建筑面积超7.7万平方米，规划设置150张床位、300台牙椅，在完整平移和平总院全部临床科室、保障医疗服务同质化的基础上，针对性适配当下群众就医需求的新特点，完成了科室布局与服务设施的升级优化，建成后将成为一座数字化、人性化、生态化的现代化口腔专科医院，既可以缓解和平总院的就诊压力，也能让周边居民在家门口享受到优质公立口腔医疗服务，进一步提升天津全市口腔医疗服务的可及性与服务水平，为区域群众的口腔健康保驾护航。</w:t>
      </w:r>
    </w:p>
    <w:p w14:paraId="350A55CA">
      <w:pPr>
        <w:adjustRightInd w:val="0"/>
        <w:snapToGrid w:val="0"/>
        <w:spacing w:line="360" w:lineRule="auto"/>
        <w:ind w:firstLine="480" w:firstLineChars="200"/>
        <w:jc w:val="left"/>
      </w:pPr>
      <w:r>
        <w:rPr>
          <w:rFonts w:hint="eastAsia"/>
        </w:rPr>
        <w:t>本项目为天津市口腔医院互联互通建设（二期）项目，结合行业内先进成熟的技术，完成医院信息安全体系完善、业务承载、数据存储及灾备系统部署等相关建设工作，满足医院在业务、服务及管理等方面的需求进行一体化升级改造。</w:t>
      </w:r>
    </w:p>
    <w:p w14:paraId="18E55DC5">
      <w:pPr>
        <w:spacing w:line="360" w:lineRule="auto"/>
        <w:outlineLvl w:val="0"/>
        <w:rPr>
          <w:rFonts w:cs="Times New Roman" w:asciiTheme="minorEastAsia" w:hAnsiTheme="minorEastAsia" w:eastAsiaTheme="minorEastAsia"/>
          <w:b/>
          <w:szCs w:val="24"/>
          <w14:ligatures w14:val="none"/>
        </w:rPr>
      </w:pPr>
      <w:r>
        <w:rPr>
          <w:rFonts w:hint="eastAsia" w:cs="Times New Roman" w:asciiTheme="minorEastAsia" w:hAnsiTheme="minorEastAsia" w:eastAsiaTheme="minorEastAsia"/>
          <w:b/>
          <w:szCs w:val="24"/>
          <w14:ligatures w14:val="none"/>
        </w:rPr>
        <w:t>二、项目预算</w:t>
      </w:r>
    </w:p>
    <w:p w14:paraId="752AB98D">
      <w:pPr>
        <w:adjustRightInd w:val="0"/>
        <w:snapToGrid w:val="0"/>
        <w:spacing w:line="360" w:lineRule="auto"/>
        <w:ind w:firstLine="480" w:firstLineChars="200"/>
        <w:jc w:val="left"/>
        <w:rPr>
          <w:rFonts w:ascii="Times New Roman" w:hAnsi="Times New Roman" w:cs="Times New Roman"/>
          <w:szCs w:val="24"/>
        </w:rPr>
      </w:pPr>
      <w:r>
        <w:rPr>
          <w:rFonts w:hint="eastAsia" w:ascii="Times New Roman" w:hAnsi="Times New Roman" w:cs="Times New Roman"/>
          <w:szCs w:val="24"/>
        </w:rPr>
        <w:t>第一包：8</w:t>
      </w:r>
      <w:r>
        <w:rPr>
          <w:rFonts w:ascii="Times New Roman" w:hAnsi="Times New Roman" w:cs="Times New Roman"/>
          <w:szCs w:val="24"/>
        </w:rPr>
        <w:t>03</w:t>
      </w:r>
      <w:r>
        <w:rPr>
          <w:rFonts w:hint="eastAsia" w:ascii="Times New Roman" w:hAnsi="Times New Roman" w:cs="Times New Roman"/>
          <w:szCs w:val="24"/>
        </w:rPr>
        <w:t>万元；</w:t>
      </w:r>
    </w:p>
    <w:p w14:paraId="5B3C7E58">
      <w:pPr>
        <w:spacing w:line="360" w:lineRule="auto"/>
        <w:outlineLvl w:val="0"/>
        <w:rPr>
          <w:rFonts w:cs="Times New Roman" w:asciiTheme="minorEastAsia" w:hAnsiTheme="minorEastAsia" w:eastAsiaTheme="minorEastAsia"/>
          <w:b/>
          <w:szCs w:val="24"/>
          <w14:ligatures w14:val="none"/>
        </w:rPr>
      </w:pPr>
      <w:r>
        <w:rPr>
          <w:rFonts w:hint="eastAsia" w:cs="Times New Roman" w:asciiTheme="minorEastAsia" w:hAnsiTheme="minorEastAsia" w:eastAsiaTheme="minorEastAsia"/>
          <w:b/>
          <w:szCs w:val="24"/>
          <w14:ligatures w14:val="none"/>
        </w:rPr>
        <w:t>三、资格</w:t>
      </w:r>
      <w:r>
        <w:rPr>
          <w:rFonts w:cs="Times New Roman" w:asciiTheme="minorEastAsia" w:hAnsiTheme="minorEastAsia" w:eastAsiaTheme="minorEastAsia"/>
          <w:b/>
          <w:szCs w:val="24"/>
          <w14:ligatures w14:val="none"/>
        </w:rPr>
        <w:t>要求</w:t>
      </w:r>
    </w:p>
    <w:p w14:paraId="2592D657">
      <w:pPr>
        <w:adjustRightInd w:val="0"/>
        <w:snapToGrid w:val="0"/>
        <w:spacing w:line="360" w:lineRule="auto"/>
        <w:ind w:firstLine="480" w:firstLineChars="200"/>
        <w:jc w:val="left"/>
        <w:rPr>
          <w:rFonts w:ascii="Times New Roman" w:hAnsi="Times New Roman" w:cs="Times New Roman"/>
          <w:szCs w:val="24"/>
        </w:rPr>
      </w:pPr>
      <w:r>
        <w:rPr>
          <w:rFonts w:hint="eastAsia" w:ascii="Times New Roman" w:hAnsi="Times New Roman" w:cs="Times New Roman"/>
          <w:szCs w:val="24"/>
        </w:rPr>
        <w:t>（一）投标人须具备《中华人民共和国政府采购法》第二十二条第一款规定的条件，提供以下材料：</w:t>
      </w:r>
    </w:p>
    <w:p w14:paraId="0D3587AC">
      <w:pPr>
        <w:adjustRightInd w:val="0"/>
        <w:snapToGrid w:val="0"/>
        <w:spacing w:line="360" w:lineRule="auto"/>
        <w:ind w:firstLine="480" w:firstLineChars="200"/>
        <w:jc w:val="left"/>
        <w:rPr>
          <w:rFonts w:ascii="Times New Roman" w:hAnsi="Times New Roman" w:cs="Times New Roman"/>
          <w:szCs w:val="24"/>
        </w:rPr>
      </w:pPr>
      <w:r>
        <w:rPr>
          <w:rFonts w:ascii="Times New Roman" w:hAnsi="Times New Roman" w:cs="Times New Roman"/>
          <w:szCs w:val="24"/>
        </w:rPr>
        <w:t>1. 营业执照副本或事业单位法人证书或民办非企业单位登记证书或社会团体法人登记证书或基金会法人登记证书扫描件或自然人的身份证明扫描件。</w:t>
      </w:r>
    </w:p>
    <w:p w14:paraId="59A29093">
      <w:pPr>
        <w:adjustRightInd w:val="0"/>
        <w:snapToGrid w:val="0"/>
        <w:spacing w:line="360" w:lineRule="auto"/>
        <w:ind w:firstLine="480" w:firstLineChars="200"/>
        <w:jc w:val="left"/>
        <w:rPr>
          <w:rFonts w:ascii="Times New Roman" w:hAnsi="Times New Roman" w:cs="Times New Roman"/>
          <w:szCs w:val="24"/>
        </w:rPr>
      </w:pPr>
      <w:r>
        <w:rPr>
          <w:rFonts w:ascii="Times New Roman" w:hAnsi="Times New Roman" w:cs="Times New Roman"/>
          <w:szCs w:val="24"/>
        </w:rPr>
        <w:t>2. 财务状况报告等相关材料：</w:t>
      </w:r>
    </w:p>
    <w:p w14:paraId="4C912EFE">
      <w:pPr>
        <w:adjustRightInd w:val="0"/>
        <w:snapToGrid w:val="0"/>
        <w:spacing w:line="360" w:lineRule="auto"/>
        <w:ind w:firstLine="480" w:firstLineChars="200"/>
        <w:jc w:val="left"/>
        <w:rPr>
          <w:rFonts w:ascii="Times New Roman" w:hAnsi="Times New Roman" w:cs="Times New Roman"/>
          <w:szCs w:val="24"/>
        </w:rPr>
      </w:pPr>
      <w:r>
        <w:rPr>
          <w:rFonts w:ascii="Times New Roman" w:hAnsi="Times New Roman" w:cs="Times New Roman"/>
          <w:szCs w:val="24"/>
        </w:rPr>
        <w:t>A.经第三方会计师事务所审计的2025年度财务报告扫描件。</w:t>
      </w:r>
    </w:p>
    <w:p w14:paraId="78C4AD12">
      <w:pPr>
        <w:adjustRightInd w:val="0"/>
        <w:snapToGrid w:val="0"/>
        <w:spacing w:line="360" w:lineRule="auto"/>
        <w:ind w:firstLine="480" w:firstLineChars="200"/>
        <w:jc w:val="left"/>
        <w:rPr>
          <w:rFonts w:ascii="Times New Roman" w:hAnsi="Times New Roman" w:cs="Times New Roman"/>
          <w:szCs w:val="24"/>
        </w:rPr>
      </w:pPr>
      <w:r>
        <w:rPr>
          <w:rFonts w:ascii="Times New Roman" w:hAnsi="Times New Roman" w:cs="Times New Roman"/>
          <w:szCs w:val="24"/>
        </w:rPr>
        <w:t>B. 具有良好的商业信誉和健全的财务会计制度的书面声明。</w:t>
      </w:r>
    </w:p>
    <w:p w14:paraId="2C3093D6">
      <w:pPr>
        <w:adjustRightInd w:val="0"/>
        <w:snapToGrid w:val="0"/>
        <w:spacing w:line="360" w:lineRule="auto"/>
        <w:ind w:firstLine="480" w:firstLineChars="200"/>
        <w:jc w:val="left"/>
        <w:rPr>
          <w:rFonts w:ascii="Times New Roman" w:hAnsi="Times New Roman" w:cs="Times New Roman"/>
          <w:szCs w:val="24"/>
        </w:rPr>
      </w:pPr>
      <w:r>
        <w:rPr>
          <w:rFonts w:hint="eastAsia" w:ascii="Times New Roman" w:hAnsi="Times New Roman" w:cs="Times New Roman"/>
          <w:szCs w:val="24"/>
        </w:rPr>
        <w:t>注：</w:t>
      </w:r>
      <w:r>
        <w:rPr>
          <w:rFonts w:ascii="Times New Roman" w:hAnsi="Times New Roman" w:cs="Times New Roman"/>
          <w:szCs w:val="24"/>
        </w:rPr>
        <w:t>A、B两项提供任意一项均可。</w:t>
      </w:r>
    </w:p>
    <w:p w14:paraId="5EA43BCD">
      <w:pPr>
        <w:adjustRightInd w:val="0"/>
        <w:snapToGrid w:val="0"/>
        <w:spacing w:line="360" w:lineRule="auto"/>
        <w:ind w:firstLine="480" w:firstLineChars="200"/>
        <w:jc w:val="left"/>
        <w:rPr>
          <w:rFonts w:ascii="Times New Roman" w:hAnsi="Times New Roman" w:cs="Times New Roman"/>
          <w:szCs w:val="24"/>
        </w:rPr>
      </w:pPr>
      <w:r>
        <w:rPr>
          <w:rFonts w:ascii="Times New Roman" w:hAnsi="Times New Roman" w:cs="Times New Roman"/>
          <w:szCs w:val="24"/>
        </w:rPr>
        <w:t>3. 依法缴纳税收和社会保障资金的书面声明。</w:t>
      </w:r>
    </w:p>
    <w:p w14:paraId="5D97171D">
      <w:pPr>
        <w:adjustRightInd w:val="0"/>
        <w:snapToGrid w:val="0"/>
        <w:spacing w:line="360" w:lineRule="auto"/>
        <w:ind w:firstLine="480" w:firstLineChars="200"/>
        <w:jc w:val="left"/>
        <w:rPr>
          <w:rFonts w:ascii="Times New Roman" w:hAnsi="Times New Roman" w:cs="Times New Roman"/>
          <w:szCs w:val="24"/>
        </w:rPr>
      </w:pPr>
      <w:r>
        <w:rPr>
          <w:rFonts w:ascii="Times New Roman" w:hAnsi="Times New Roman" w:cs="Times New Roman"/>
          <w:szCs w:val="24"/>
        </w:rPr>
        <w:t>4. 投标截止日前3年在经营活动中没有重大违法记录的书面声明（截至开标日成立不足3年的供应商可提供自成立以来无重大违法记录的书面声明）。</w:t>
      </w:r>
    </w:p>
    <w:p w14:paraId="085EA61B">
      <w:pPr>
        <w:adjustRightInd w:val="0"/>
        <w:snapToGrid w:val="0"/>
        <w:spacing w:line="360" w:lineRule="auto"/>
        <w:ind w:firstLine="480" w:firstLineChars="200"/>
        <w:jc w:val="left"/>
        <w:rPr>
          <w:rFonts w:ascii="Times New Roman" w:hAnsi="Times New Roman" w:cs="Times New Roman"/>
          <w:szCs w:val="24"/>
        </w:rPr>
      </w:pPr>
      <w:r>
        <w:rPr>
          <w:rFonts w:ascii="Times New Roman" w:hAnsi="Times New Roman" w:cs="Times New Roman"/>
          <w:szCs w:val="24"/>
        </w:rPr>
        <w:t>5. 提交具备履行合同所必需的设备和专业技术能力证明材料。</w:t>
      </w:r>
    </w:p>
    <w:p w14:paraId="48166622">
      <w:pPr>
        <w:adjustRightInd w:val="0"/>
        <w:snapToGrid w:val="0"/>
        <w:spacing w:line="360" w:lineRule="auto"/>
        <w:ind w:firstLine="480" w:firstLineChars="200"/>
        <w:jc w:val="left"/>
        <w:rPr>
          <w:rFonts w:ascii="Times New Roman" w:hAnsi="Times New Roman" w:cs="Times New Roman"/>
          <w:szCs w:val="24"/>
        </w:rPr>
      </w:pPr>
      <w:r>
        <w:rPr>
          <w:rFonts w:hint="eastAsia" w:ascii="Times New Roman" w:hAnsi="Times New Roman" w:cs="Times New Roman"/>
          <w:szCs w:val="24"/>
        </w:rPr>
        <w:t>（二）本项目不接受联合体投标。</w:t>
      </w:r>
      <w:r>
        <w:rPr>
          <w:rFonts w:ascii="Times New Roman" w:hAnsi="Times New Roman" w:cs="Times New Roman"/>
          <w:szCs w:val="24"/>
        </w:rPr>
        <w:t xml:space="preserve"> </w:t>
      </w:r>
    </w:p>
    <w:p w14:paraId="590716D9">
      <w:pPr>
        <w:spacing w:line="360" w:lineRule="auto"/>
        <w:outlineLvl w:val="0"/>
        <w:rPr>
          <w:rFonts w:cs="Times New Roman" w:asciiTheme="minorEastAsia" w:hAnsiTheme="minorEastAsia" w:eastAsiaTheme="minorEastAsia"/>
          <w:b/>
          <w:szCs w:val="24"/>
          <w14:ligatures w14:val="none"/>
        </w:rPr>
      </w:pPr>
      <w:r>
        <w:rPr>
          <w:rFonts w:hint="eastAsia" w:cs="Times New Roman" w:asciiTheme="minorEastAsia" w:hAnsiTheme="minorEastAsia" w:eastAsiaTheme="minorEastAsia"/>
          <w:b/>
          <w:szCs w:val="24"/>
          <w14:ligatures w14:val="none"/>
        </w:rPr>
        <w:t>四、商务要求</w:t>
      </w:r>
    </w:p>
    <w:p w14:paraId="51667C8A">
      <w:pPr>
        <w:spacing w:line="360" w:lineRule="auto"/>
        <w:ind w:firstLine="480" w:firstLineChars="200"/>
      </w:pPr>
      <w:r>
        <w:rPr>
          <w:rFonts w:hint="eastAsia"/>
        </w:rPr>
        <w:t>★（一）报价要求</w:t>
      </w:r>
    </w:p>
    <w:p w14:paraId="63C4A79A">
      <w:pPr>
        <w:spacing w:line="360" w:lineRule="auto"/>
        <w:ind w:firstLine="480" w:firstLineChars="200"/>
      </w:pPr>
      <w:r>
        <w:t>1. 投标报价以人民币填列。</w:t>
      </w:r>
    </w:p>
    <w:p w14:paraId="0A5EA740">
      <w:pPr>
        <w:spacing w:line="360" w:lineRule="auto"/>
        <w:ind w:firstLine="480" w:firstLineChars="200"/>
      </w:pPr>
      <w:r>
        <w:t>2. 投标人的报价应包括：设备主机及附件货款、运输费、运输保险费、装卸费、安装调试费及利润税金等为完成招标文件规定的全部要求所需的一切费用。投标人所报价格为货到现场安装调试完成的最终优惠价格。</w:t>
      </w:r>
    </w:p>
    <w:p w14:paraId="6C42EFBB">
      <w:pPr>
        <w:spacing w:line="360" w:lineRule="auto"/>
        <w:ind w:firstLine="480" w:firstLineChars="200"/>
      </w:pPr>
      <w:r>
        <w:t>3. 验收及相关费用由投标人负责。</w:t>
      </w:r>
    </w:p>
    <w:p w14:paraId="5EF3BC96">
      <w:pPr>
        <w:spacing w:line="360" w:lineRule="auto"/>
        <w:ind w:firstLine="480" w:firstLineChars="200"/>
      </w:pPr>
      <w:r>
        <w:rPr>
          <w:rFonts w:hint="eastAsia"/>
        </w:rPr>
        <w:t>（二）服务要求</w:t>
      </w:r>
    </w:p>
    <w:p w14:paraId="4796B6CF">
      <w:pPr>
        <w:spacing w:line="360" w:lineRule="auto"/>
        <w:ind w:firstLine="480" w:firstLineChars="200"/>
      </w:pPr>
      <w:r>
        <w:rPr>
          <w:rFonts w:hint="eastAsia"/>
        </w:rPr>
        <w:t>★</w:t>
      </w:r>
      <w:r>
        <w:t>1.提供</w:t>
      </w:r>
      <w:r>
        <w:rPr>
          <w:rFonts w:hint="eastAsia"/>
        </w:rPr>
        <w:t>安全运营服务、内网安全管理系统、系统集成、机房运维、精密空调运维</w:t>
      </w:r>
      <w:r>
        <w:t>1年质量保证，提供其他所投产品3年质量保证，质保期免费上门维修，终身维修（质保期外正常收取维修费用）。</w:t>
      </w:r>
    </w:p>
    <w:p w14:paraId="7BF007C0">
      <w:pPr>
        <w:spacing w:line="360" w:lineRule="auto"/>
        <w:ind w:firstLine="480" w:firstLineChars="200"/>
      </w:pPr>
      <w:r>
        <w:t>2. 保修期内免费更换零配件，7×24小时技术响应，48小时内维修工程师到达维修现场。保修期自验收合格之日起计算。</w:t>
      </w:r>
    </w:p>
    <w:p w14:paraId="426647D0">
      <w:pPr>
        <w:spacing w:line="360" w:lineRule="auto"/>
        <w:ind w:firstLine="480" w:firstLineChars="200"/>
      </w:pPr>
      <w:r>
        <w:t>3. 提供所投产品制造商服务机构情况，包括地址、联系方式及技术人员数量等。</w:t>
      </w:r>
    </w:p>
    <w:p w14:paraId="68DDC22A">
      <w:pPr>
        <w:spacing w:line="360" w:lineRule="auto"/>
        <w:ind w:firstLine="480" w:firstLineChars="200"/>
      </w:pPr>
      <w:r>
        <w:t>4. 提供原厂标准的易耗品、消耗材料价格清单及折扣率，保修期后设备维修的价格清单及折扣率。</w:t>
      </w:r>
    </w:p>
    <w:p w14:paraId="1E6EA9AA">
      <w:pPr>
        <w:spacing w:line="360" w:lineRule="auto"/>
        <w:ind w:firstLine="480" w:firstLineChars="200"/>
      </w:pPr>
      <w:r>
        <w:t>5. 提供现场技术培训。</w:t>
      </w:r>
    </w:p>
    <w:p w14:paraId="166FA186">
      <w:pPr>
        <w:spacing w:line="360" w:lineRule="auto"/>
        <w:ind w:firstLine="480" w:firstLineChars="200"/>
      </w:pPr>
      <w:r>
        <w:t>6. 投标人提供新设备的搬运、安装、调试工作，包含配件及辅料的安装调试工作。</w:t>
      </w:r>
    </w:p>
    <w:p w14:paraId="486D391F">
      <w:pPr>
        <w:spacing w:line="360" w:lineRule="auto"/>
        <w:ind w:firstLine="480" w:firstLineChars="200"/>
      </w:pPr>
      <w:r>
        <w:rPr>
          <w:rFonts w:hint="eastAsia"/>
        </w:rPr>
        <w:t>7</w:t>
      </w:r>
      <w:r>
        <w:t>. ★</w:t>
      </w:r>
      <w:r>
        <w:rPr>
          <w:rFonts w:hint="eastAsia"/>
        </w:rPr>
        <w:t>功能定制要求</w:t>
      </w:r>
    </w:p>
    <w:p w14:paraId="0038B149">
      <w:pPr>
        <w:spacing w:line="360" w:lineRule="auto"/>
        <w:ind w:firstLine="480" w:firstLineChars="200"/>
      </w:pPr>
      <w:r>
        <w:t>①要求本次超融合一体机须支持纳入我院现有超融合管理平台进行统一管理，具备集群间虚拟机迁移、虚拟机全生命周期统一管控及资源统一监控能力。若不支持上述功能，须提供免费定制开发实现此业务资源统一平台运维管理，为避免项目交付周期过长，定制周期最多不超过7天，并在中标后7天内提供上述功能上线测试验证。</w:t>
      </w:r>
    </w:p>
    <w:p w14:paraId="19F5EA7B">
      <w:pPr>
        <w:spacing w:line="360" w:lineRule="auto"/>
        <w:ind w:firstLine="480" w:firstLineChars="200"/>
      </w:pPr>
      <w:r>
        <w:t>②为缓解我院日常运维工作压力，提升集中监控与统一管理水平，本次采购的分布式存储设备需与医院现有的超融合管理平台进行对接开发，具体定制功能如下：实现分布式存储设备与超融合管理平台的无缝对接，确保能在超融合管理平台上完成文件资源的账号管理、文件目录的创建操作以及文件所属用户的权限控制等功能。上述定制开发相关费用需包含本次招标的总报价中，同时，为保障项目按期交付，定制开发周期最长不得超过7天，且中标方须在中标后的7天内完成上述功能的上线测试与验证。</w:t>
      </w:r>
    </w:p>
    <w:p w14:paraId="51EB2309">
      <w:pPr>
        <w:spacing w:line="360" w:lineRule="auto"/>
        <w:ind w:firstLine="480" w:firstLineChars="200"/>
        <w:rPr>
          <w:rFonts w:hint="eastAsia"/>
        </w:rPr>
      </w:pPr>
      <w:r>
        <w:t>③本次所投防火墙品类及态势感知探针设备需支持与医院现有安全态势感知平台联动，将防火墙和态势感知探针设备产生的安全日志等数据上报至安全态势感知平台，并在安全态势感知平台进行威胁展示，当院内安全态势感知平台检测到安全风险时，可联动防火墙下发策略（包括封锁IP、访问控制等），阻断安全风险，提升整体安全能力。上述功能若不支持，需提供定制开发服务满足上述功能要求，定制开发相关费用需包含本次招标的总报价中，同时，为保障项目按期交付，定制开发周期最长不得超过7天，且中标方须在中标后的7天内完成上述功能的上线测试与验证</w:t>
      </w:r>
      <w:r>
        <w:rPr>
          <w:rFonts w:hint="eastAsia"/>
        </w:rPr>
        <w:t>。</w:t>
      </w:r>
    </w:p>
    <w:p w14:paraId="4F8C51C8">
      <w:pPr>
        <w:spacing w:line="360" w:lineRule="auto"/>
        <w:ind w:firstLine="480" w:firstLineChars="200"/>
        <w:rPr>
          <w:rFonts w:hint="eastAsia"/>
          <w:highlight w:val="none"/>
        </w:rPr>
      </w:pPr>
      <w:r>
        <w:rPr>
          <w:rFonts w:hint="eastAsia" w:ascii="宋体" w:hAnsi="宋体" w:eastAsia="宋体" w:cs="宋体"/>
          <w:highlight w:val="none"/>
        </w:rPr>
        <w:t>④</w:t>
      </w:r>
      <w:r>
        <w:rPr>
          <w:rFonts w:hint="eastAsia"/>
          <w:highlight w:val="none"/>
        </w:rPr>
        <w:t>上述功能若不支持，需提供定制开发服务满足上述功能要求，定制开发。</w:t>
      </w:r>
    </w:p>
    <w:p w14:paraId="33272803">
      <w:pPr>
        <w:spacing w:line="360" w:lineRule="auto"/>
        <w:ind w:firstLine="480" w:firstLineChars="200"/>
        <w:rPr>
          <w:rFonts w:hint="eastAsia"/>
          <w:highlight w:val="none"/>
        </w:rPr>
      </w:pPr>
      <w:r>
        <w:rPr>
          <w:rFonts w:hint="eastAsia"/>
          <w:highlight w:val="none"/>
        </w:rPr>
        <w:t>相关费用需包含本次招标的总报价中</w:t>
      </w:r>
    </w:p>
    <w:p w14:paraId="1C02B169">
      <w:pPr>
        <w:spacing w:line="360" w:lineRule="auto"/>
        <w:ind w:firstLine="480" w:firstLineChars="200"/>
        <w:rPr>
          <w:rFonts w:hint="eastAsia"/>
          <w:highlight w:val="none"/>
        </w:rPr>
      </w:pPr>
      <w:r>
        <w:rPr>
          <w:rFonts w:hint="eastAsia" w:ascii="宋体" w:hAnsi="宋体" w:eastAsia="宋体" w:cs="宋体"/>
          <w:highlight w:val="none"/>
        </w:rPr>
        <w:t>⑤</w:t>
      </w:r>
      <w:r>
        <w:rPr>
          <w:rFonts w:hint="eastAsia"/>
          <w:highlight w:val="none"/>
        </w:rPr>
        <w:t>免费提供梅江院区室内智能导航及相关李生或物联平台。</w:t>
      </w:r>
    </w:p>
    <w:p w14:paraId="6196E6ED">
      <w:pPr>
        <w:spacing w:line="360" w:lineRule="auto"/>
        <w:ind w:firstLine="480" w:firstLineChars="200"/>
      </w:pPr>
      <w:r>
        <w:rPr>
          <w:rFonts w:hint="eastAsia"/>
        </w:rPr>
        <w:t>签订合同后，投标人应在招标规定的时间内提供详细的技术实现方案、原型演示或第三方检测报告以证明其可实现性，若不符合功能要求，招标人有权利废除合同，并保留追责的权利，重新组织采购活动。</w:t>
      </w:r>
    </w:p>
    <w:p w14:paraId="79450BAD">
      <w:pPr>
        <w:spacing w:line="360" w:lineRule="auto"/>
        <w:ind w:firstLine="480" w:firstLineChars="200"/>
      </w:pPr>
      <w:r>
        <w:rPr>
          <w:rFonts w:hint="eastAsia"/>
        </w:rPr>
        <w:t>★（三）交货要求</w:t>
      </w:r>
    </w:p>
    <w:p w14:paraId="68DDE022">
      <w:pPr>
        <w:spacing w:line="360" w:lineRule="auto"/>
        <w:ind w:firstLine="480" w:firstLineChars="200"/>
      </w:pPr>
      <w:r>
        <w:t>1. 交货期：签订合同之日起30个工作日内（特殊情况以合同为准）。</w:t>
      </w:r>
    </w:p>
    <w:p w14:paraId="22EC74F6">
      <w:pPr>
        <w:spacing w:line="360" w:lineRule="auto"/>
        <w:ind w:firstLine="480" w:firstLineChars="200"/>
      </w:pPr>
      <w:r>
        <w:t>2. 交货地点：</w:t>
      </w:r>
      <w:r>
        <w:rPr>
          <w:rFonts w:hint="eastAsia"/>
        </w:rPr>
        <w:t>天津市口腔医院梅江院区</w:t>
      </w:r>
      <w:r>
        <w:t>（特殊情况以合同为准）。</w:t>
      </w:r>
    </w:p>
    <w:p w14:paraId="644FB777">
      <w:pPr>
        <w:spacing w:line="360" w:lineRule="auto"/>
        <w:ind w:firstLine="480" w:firstLineChars="200"/>
      </w:pPr>
      <w:r>
        <w:t>3. 提供制造商完整的随机资料，包括完整的使用和维修手册等。</w:t>
      </w:r>
    </w:p>
    <w:p w14:paraId="613E2F9D">
      <w:pPr>
        <w:spacing w:line="360" w:lineRule="auto"/>
        <w:ind w:firstLine="480" w:firstLineChars="200"/>
      </w:pPr>
      <w:r>
        <w:t>4. 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14:paraId="29B57CA4">
      <w:pPr>
        <w:spacing w:line="360" w:lineRule="auto"/>
        <w:ind w:firstLine="480" w:firstLineChars="200"/>
      </w:pPr>
      <w:r>
        <w:rPr>
          <w:rFonts w:hint="eastAsia"/>
        </w:rPr>
        <w:t>★（四）付款方式</w:t>
      </w:r>
    </w:p>
    <w:p w14:paraId="327B7AEB">
      <w:pPr>
        <w:spacing w:line="360" w:lineRule="auto"/>
        <w:ind w:firstLine="480" w:firstLineChars="200"/>
      </w:pPr>
      <w:r>
        <w:rPr>
          <w:rFonts w:hint="eastAsia"/>
        </w:rPr>
        <w:t>签订合同后</w:t>
      </w:r>
      <w:r>
        <w:t>15个工作日内预付合同总额的30%，货到现场安装、调试完毕后15个工作日支付合同总额的60%，货物使用无质量问题验收合格后15个工作日内支付合同总额的10%（特殊情况以合同为准）。</w:t>
      </w:r>
    </w:p>
    <w:p w14:paraId="46274CF5">
      <w:pPr>
        <w:spacing w:line="360" w:lineRule="auto"/>
        <w:ind w:firstLine="480" w:firstLineChars="200"/>
      </w:pPr>
      <w:r>
        <w:rPr>
          <w:rFonts w:hint="eastAsia"/>
        </w:rPr>
        <w:t>★（五）投标保证金和履约保证金</w:t>
      </w:r>
    </w:p>
    <w:p w14:paraId="6CC026B2">
      <w:pPr>
        <w:spacing w:line="360" w:lineRule="auto"/>
        <w:ind w:firstLine="480" w:firstLineChars="200"/>
      </w:pPr>
      <w:r>
        <w:rPr>
          <w:rFonts w:hint="eastAsia"/>
        </w:rPr>
        <w:t>本项目不收取投标保证金和履约保证金</w:t>
      </w:r>
    </w:p>
    <w:p w14:paraId="229976BF">
      <w:pPr>
        <w:spacing w:line="360" w:lineRule="auto"/>
        <w:ind w:firstLine="480" w:firstLineChars="200"/>
      </w:pPr>
      <w:r>
        <w:rPr>
          <w:rFonts w:hint="eastAsia"/>
        </w:rPr>
        <w:t>★（六）验收方法及标准</w:t>
      </w:r>
    </w:p>
    <w:p w14:paraId="31B9FFBB">
      <w:pPr>
        <w:spacing w:line="360" w:lineRule="auto"/>
        <w:ind w:firstLine="480" w:firstLineChars="200"/>
      </w:pPr>
      <w:r>
        <w:rPr>
          <w:rFonts w:hint="eastAsia"/>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p w14:paraId="3983EBDF">
      <w:pPr>
        <w:spacing w:line="360" w:lineRule="auto"/>
        <w:outlineLvl w:val="0"/>
        <w:rPr>
          <w:rFonts w:cs="Times New Roman" w:asciiTheme="minorEastAsia" w:hAnsiTheme="minorEastAsia" w:eastAsiaTheme="minorEastAsia"/>
          <w:b/>
          <w:szCs w:val="24"/>
          <w14:ligatures w14:val="none"/>
        </w:rPr>
      </w:pPr>
      <w:r>
        <w:rPr>
          <w:rFonts w:hint="eastAsia" w:cs="Times New Roman" w:asciiTheme="minorEastAsia" w:hAnsiTheme="minorEastAsia" w:eastAsiaTheme="minorEastAsia"/>
          <w:b/>
          <w:szCs w:val="24"/>
          <w14:ligatures w14:val="none"/>
        </w:rPr>
        <w:t>五、技术</w:t>
      </w:r>
      <w:r>
        <w:rPr>
          <w:rFonts w:cs="Times New Roman" w:asciiTheme="minorEastAsia" w:hAnsiTheme="minorEastAsia" w:eastAsiaTheme="minorEastAsia"/>
          <w:b/>
          <w:szCs w:val="24"/>
          <w14:ligatures w14:val="none"/>
        </w:rPr>
        <w:t>要求</w:t>
      </w:r>
      <w:bookmarkEnd w:id="0"/>
      <w:bookmarkEnd w:id="1"/>
      <w:bookmarkEnd w:id="2"/>
      <w:bookmarkEnd w:id="3"/>
      <w:bookmarkEnd w:id="4"/>
    </w:p>
    <w:p w14:paraId="649F27BF">
      <w:pPr>
        <w:bidi w:val="0"/>
      </w:pPr>
      <w:r>
        <w:rPr>
          <w:rFonts w:hint="eastAsia"/>
        </w:rPr>
        <w:t>★（一）投标人须承诺所投产品和服务符合相关强制性规定。交货时采购人有权要求投标人出具所投产品、服务符合上述规定的证明文件。</w:t>
      </w:r>
    </w:p>
    <w:bookmarkEnd w:id="5"/>
    <w:p w14:paraId="3E73FB3E">
      <w:pPr>
        <w:pStyle w:val="3"/>
        <w:pageBreakBefore/>
        <w:numPr>
          <w:ilvl w:val="0"/>
          <w:numId w:val="0"/>
        </w:numPr>
        <w:spacing w:line="360" w:lineRule="auto"/>
        <w:jc w:val="left"/>
        <w:rPr>
          <w:rFonts w:ascii="宋体" w:hAnsi="宋体" w:eastAsia="宋体" w:cs="Times New Roman"/>
          <w:color w:val="auto"/>
          <w:sz w:val="24"/>
          <w:szCs w:val="24"/>
        </w:rPr>
      </w:pPr>
      <w:r>
        <w:rPr>
          <w:rFonts w:hint="eastAsia" w:ascii="宋体" w:hAnsi="宋体" w:eastAsia="宋体" w:cs="Times New Roman"/>
          <w:color w:val="auto"/>
          <w:sz w:val="24"/>
          <w:szCs w:val="24"/>
        </w:rPr>
        <w:t>（二）采购清单</w:t>
      </w:r>
    </w:p>
    <w:tbl>
      <w:tblPr>
        <w:tblStyle w:val="44"/>
        <w:tblW w:w="45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2949"/>
        <w:gridCol w:w="825"/>
        <w:gridCol w:w="825"/>
        <w:gridCol w:w="2288"/>
      </w:tblGrid>
      <w:tr w14:paraId="5C58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35" w:type="pct"/>
            <w:shd w:val="clear" w:color="auto" w:fill="auto"/>
            <w:vAlign w:val="center"/>
          </w:tcPr>
          <w:p w14:paraId="02B2EDE5">
            <w:pPr>
              <w:widowControl/>
              <w:spacing w:line="360" w:lineRule="auto"/>
              <w:jc w:val="center"/>
              <w:rPr>
                <w:rFonts w:ascii="宋体" w:hAnsi="宋体" w:cs="宋体"/>
                <w:b/>
                <w:bCs/>
                <w:kern w:val="0"/>
                <w:szCs w:val="24"/>
                <w14:ligatures w14:val="none"/>
              </w:rPr>
            </w:pPr>
            <w:r>
              <w:rPr>
                <w:rFonts w:hint="eastAsia" w:ascii="宋体" w:hAnsi="宋体" w:cs="宋体"/>
                <w:b/>
                <w:bCs/>
                <w:kern w:val="0"/>
                <w:szCs w:val="24"/>
                <w14:ligatures w14:val="none"/>
              </w:rPr>
              <w:t>序号</w:t>
            </w:r>
          </w:p>
        </w:tc>
        <w:tc>
          <w:tcPr>
            <w:tcW w:w="1912" w:type="pct"/>
            <w:shd w:val="clear" w:color="auto" w:fill="auto"/>
            <w:vAlign w:val="center"/>
          </w:tcPr>
          <w:p w14:paraId="255D1D85">
            <w:pPr>
              <w:widowControl/>
              <w:spacing w:line="360" w:lineRule="auto"/>
              <w:jc w:val="center"/>
              <w:rPr>
                <w:rFonts w:ascii="宋体" w:hAnsi="宋体" w:cs="宋体"/>
                <w:b/>
                <w:bCs/>
                <w:kern w:val="0"/>
                <w:szCs w:val="24"/>
                <w14:ligatures w14:val="none"/>
              </w:rPr>
            </w:pPr>
            <w:r>
              <w:rPr>
                <w:rFonts w:hint="eastAsia" w:ascii="宋体" w:hAnsi="宋体" w:cs="宋体"/>
                <w:b/>
                <w:bCs/>
                <w:kern w:val="0"/>
                <w:szCs w:val="24"/>
                <w14:ligatures w14:val="none"/>
              </w:rPr>
              <w:t>名称</w:t>
            </w:r>
          </w:p>
        </w:tc>
        <w:tc>
          <w:tcPr>
            <w:tcW w:w="535" w:type="pct"/>
            <w:shd w:val="clear" w:color="auto" w:fill="auto"/>
            <w:vAlign w:val="center"/>
          </w:tcPr>
          <w:p w14:paraId="00423B0F">
            <w:pPr>
              <w:widowControl/>
              <w:spacing w:line="360" w:lineRule="auto"/>
              <w:jc w:val="center"/>
              <w:rPr>
                <w:rFonts w:ascii="宋体" w:hAnsi="宋体" w:cs="宋体"/>
                <w:b/>
                <w:bCs/>
                <w:kern w:val="0"/>
                <w:szCs w:val="24"/>
                <w14:ligatures w14:val="none"/>
              </w:rPr>
            </w:pPr>
            <w:r>
              <w:rPr>
                <w:rFonts w:hint="eastAsia" w:ascii="宋体" w:hAnsi="宋体" w:cs="宋体"/>
                <w:b/>
                <w:bCs/>
                <w:kern w:val="0"/>
                <w:szCs w:val="24"/>
                <w14:ligatures w14:val="none"/>
              </w:rPr>
              <w:t>数量</w:t>
            </w:r>
          </w:p>
        </w:tc>
        <w:tc>
          <w:tcPr>
            <w:tcW w:w="535" w:type="pct"/>
            <w:shd w:val="clear" w:color="auto" w:fill="auto"/>
            <w:vAlign w:val="center"/>
          </w:tcPr>
          <w:p w14:paraId="07E05A5C">
            <w:pPr>
              <w:widowControl/>
              <w:spacing w:line="360" w:lineRule="auto"/>
              <w:jc w:val="center"/>
              <w:rPr>
                <w:rFonts w:ascii="宋体" w:hAnsi="宋体" w:cs="宋体"/>
                <w:b/>
                <w:bCs/>
                <w:kern w:val="0"/>
                <w:szCs w:val="24"/>
                <w14:ligatures w14:val="none"/>
              </w:rPr>
            </w:pPr>
            <w:r>
              <w:rPr>
                <w:rFonts w:hint="eastAsia" w:ascii="宋体" w:hAnsi="宋体" w:cs="宋体"/>
                <w:b/>
                <w:bCs/>
                <w:kern w:val="0"/>
                <w:szCs w:val="24"/>
                <w14:ligatures w14:val="none"/>
              </w:rPr>
              <w:t>单位</w:t>
            </w:r>
          </w:p>
        </w:tc>
        <w:tc>
          <w:tcPr>
            <w:tcW w:w="1483" w:type="pct"/>
            <w:shd w:val="clear" w:color="auto" w:fill="auto"/>
            <w:vAlign w:val="center"/>
          </w:tcPr>
          <w:p w14:paraId="44F73FD5">
            <w:pPr>
              <w:widowControl/>
              <w:spacing w:line="360" w:lineRule="auto"/>
              <w:jc w:val="center"/>
              <w:rPr>
                <w:rFonts w:ascii="宋体" w:hAnsi="宋体" w:cs="宋体"/>
                <w:b/>
                <w:bCs/>
                <w:kern w:val="0"/>
                <w:szCs w:val="24"/>
                <w14:ligatures w14:val="none"/>
              </w:rPr>
            </w:pPr>
            <w:r>
              <w:rPr>
                <w:rFonts w:hint="eastAsia" w:ascii="宋体" w:hAnsi="宋体" w:cs="宋体"/>
                <w:b/>
                <w:bCs/>
                <w:kern w:val="0"/>
                <w:szCs w:val="24"/>
                <w14:ligatures w14:val="none"/>
              </w:rPr>
              <w:t>质保期限</w:t>
            </w:r>
          </w:p>
        </w:tc>
      </w:tr>
      <w:tr w14:paraId="5B8D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35" w:type="pct"/>
            <w:shd w:val="clear" w:color="auto" w:fill="auto"/>
            <w:vAlign w:val="center"/>
          </w:tcPr>
          <w:p w14:paraId="517333E8">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1</w:t>
            </w:r>
          </w:p>
        </w:tc>
        <w:tc>
          <w:tcPr>
            <w:tcW w:w="1912" w:type="pct"/>
            <w:shd w:val="clear" w:color="auto" w:fill="auto"/>
            <w:vAlign w:val="center"/>
          </w:tcPr>
          <w:p w14:paraId="4B9B2DBD">
            <w:pPr>
              <w:widowControl/>
              <w:spacing w:line="360" w:lineRule="auto"/>
              <w:jc w:val="center"/>
              <w:rPr>
                <w:rFonts w:ascii="宋体" w:hAnsi="宋体" w:cs="宋体"/>
                <w:kern w:val="0"/>
                <w:szCs w:val="24"/>
                <w14:ligatures w14:val="none"/>
              </w:rPr>
            </w:pPr>
            <w:r>
              <w:rPr>
                <w:rFonts w:hint="eastAsia" w:ascii="宋体" w:hAnsi="宋体" w:cs="Times New Roman"/>
                <w:szCs w:val="24"/>
                <w:lang w:val="en"/>
              </w:rPr>
              <w:t>▲</w:t>
            </w:r>
            <w:r>
              <w:rPr>
                <w:rFonts w:hint="eastAsia" w:ascii="宋体" w:hAnsi="宋体" w:cs="宋体"/>
                <w:kern w:val="0"/>
                <w:szCs w:val="24"/>
                <w14:ligatures w14:val="none"/>
              </w:rPr>
              <w:t>数据库服务器</w:t>
            </w:r>
          </w:p>
        </w:tc>
        <w:tc>
          <w:tcPr>
            <w:tcW w:w="535" w:type="pct"/>
            <w:shd w:val="clear" w:color="auto" w:fill="auto"/>
            <w:vAlign w:val="center"/>
          </w:tcPr>
          <w:p w14:paraId="1B367910">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1</w:t>
            </w:r>
          </w:p>
        </w:tc>
        <w:tc>
          <w:tcPr>
            <w:tcW w:w="535" w:type="pct"/>
            <w:shd w:val="clear" w:color="auto" w:fill="auto"/>
            <w:vAlign w:val="center"/>
          </w:tcPr>
          <w:p w14:paraId="13CF26A5">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台</w:t>
            </w:r>
          </w:p>
        </w:tc>
        <w:tc>
          <w:tcPr>
            <w:tcW w:w="1483" w:type="pct"/>
            <w:shd w:val="clear" w:color="auto" w:fill="auto"/>
            <w:vAlign w:val="center"/>
          </w:tcPr>
          <w:p w14:paraId="0D0A3487">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三年</w:t>
            </w:r>
          </w:p>
        </w:tc>
      </w:tr>
      <w:tr w14:paraId="72FA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35" w:type="pct"/>
            <w:shd w:val="clear" w:color="auto" w:fill="auto"/>
            <w:vAlign w:val="center"/>
          </w:tcPr>
          <w:p w14:paraId="6B4224F1">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2</w:t>
            </w:r>
          </w:p>
        </w:tc>
        <w:tc>
          <w:tcPr>
            <w:tcW w:w="1912" w:type="pct"/>
            <w:shd w:val="clear" w:color="auto" w:fill="auto"/>
            <w:vAlign w:val="center"/>
          </w:tcPr>
          <w:p w14:paraId="63902A09">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数据库高可用软件</w:t>
            </w:r>
          </w:p>
        </w:tc>
        <w:tc>
          <w:tcPr>
            <w:tcW w:w="535" w:type="pct"/>
            <w:shd w:val="clear" w:color="auto" w:fill="auto"/>
            <w:vAlign w:val="center"/>
          </w:tcPr>
          <w:p w14:paraId="2CA9781B">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1</w:t>
            </w:r>
          </w:p>
        </w:tc>
        <w:tc>
          <w:tcPr>
            <w:tcW w:w="535" w:type="pct"/>
            <w:shd w:val="clear" w:color="auto" w:fill="auto"/>
            <w:vAlign w:val="center"/>
          </w:tcPr>
          <w:p w14:paraId="7C717FAB">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节点</w:t>
            </w:r>
          </w:p>
        </w:tc>
        <w:tc>
          <w:tcPr>
            <w:tcW w:w="1483" w:type="pct"/>
            <w:shd w:val="clear" w:color="auto" w:fill="auto"/>
            <w:vAlign w:val="center"/>
          </w:tcPr>
          <w:p w14:paraId="293BB77D">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三年</w:t>
            </w:r>
          </w:p>
        </w:tc>
      </w:tr>
      <w:tr w14:paraId="4905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35" w:type="pct"/>
            <w:shd w:val="clear" w:color="auto" w:fill="auto"/>
            <w:vAlign w:val="center"/>
          </w:tcPr>
          <w:p w14:paraId="1F6FB531">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3</w:t>
            </w:r>
          </w:p>
        </w:tc>
        <w:tc>
          <w:tcPr>
            <w:tcW w:w="1912" w:type="pct"/>
            <w:shd w:val="clear" w:color="auto" w:fill="auto"/>
            <w:vAlign w:val="center"/>
          </w:tcPr>
          <w:p w14:paraId="1B86CE14">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超融合一体机</w:t>
            </w:r>
          </w:p>
        </w:tc>
        <w:tc>
          <w:tcPr>
            <w:tcW w:w="535" w:type="pct"/>
            <w:shd w:val="clear" w:color="auto" w:fill="auto"/>
            <w:vAlign w:val="center"/>
          </w:tcPr>
          <w:p w14:paraId="1D9C8E5D">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11</w:t>
            </w:r>
          </w:p>
        </w:tc>
        <w:tc>
          <w:tcPr>
            <w:tcW w:w="535" w:type="pct"/>
            <w:shd w:val="clear" w:color="auto" w:fill="auto"/>
            <w:vAlign w:val="center"/>
          </w:tcPr>
          <w:p w14:paraId="1A0E4900">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台</w:t>
            </w:r>
          </w:p>
        </w:tc>
        <w:tc>
          <w:tcPr>
            <w:tcW w:w="1483" w:type="pct"/>
            <w:shd w:val="clear" w:color="auto" w:fill="auto"/>
            <w:vAlign w:val="center"/>
          </w:tcPr>
          <w:p w14:paraId="311335DB">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三年</w:t>
            </w:r>
          </w:p>
        </w:tc>
      </w:tr>
      <w:tr w14:paraId="4C8A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35" w:type="pct"/>
            <w:shd w:val="clear" w:color="auto" w:fill="auto"/>
            <w:vAlign w:val="center"/>
          </w:tcPr>
          <w:p w14:paraId="00037C7E">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4</w:t>
            </w:r>
          </w:p>
        </w:tc>
        <w:tc>
          <w:tcPr>
            <w:tcW w:w="1912" w:type="pct"/>
            <w:shd w:val="clear" w:color="auto" w:fill="auto"/>
            <w:vAlign w:val="center"/>
          </w:tcPr>
          <w:p w14:paraId="20CBAEE3">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超融合交换机</w:t>
            </w:r>
          </w:p>
        </w:tc>
        <w:tc>
          <w:tcPr>
            <w:tcW w:w="535" w:type="pct"/>
            <w:shd w:val="clear" w:color="auto" w:fill="auto"/>
            <w:vAlign w:val="center"/>
          </w:tcPr>
          <w:p w14:paraId="41010E63">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4</w:t>
            </w:r>
          </w:p>
        </w:tc>
        <w:tc>
          <w:tcPr>
            <w:tcW w:w="535" w:type="pct"/>
            <w:shd w:val="clear" w:color="auto" w:fill="auto"/>
            <w:vAlign w:val="center"/>
          </w:tcPr>
          <w:p w14:paraId="6091BE0C">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台</w:t>
            </w:r>
          </w:p>
        </w:tc>
        <w:tc>
          <w:tcPr>
            <w:tcW w:w="1483" w:type="pct"/>
            <w:shd w:val="clear" w:color="auto" w:fill="auto"/>
            <w:vAlign w:val="center"/>
          </w:tcPr>
          <w:p w14:paraId="5234BEDB">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三年</w:t>
            </w:r>
          </w:p>
        </w:tc>
      </w:tr>
      <w:tr w14:paraId="2371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35" w:type="pct"/>
            <w:shd w:val="clear" w:color="auto" w:fill="auto"/>
            <w:vAlign w:val="center"/>
          </w:tcPr>
          <w:p w14:paraId="7FDB66B0">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5</w:t>
            </w:r>
          </w:p>
        </w:tc>
        <w:tc>
          <w:tcPr>
            <w:tcW w:w="1912" w:type="pct"/>
            <w:shd w:val="clear" w:color="auto" w:fill="auto"/>
            <w:vAlign w:val="center"/>
          </w:tcPr>
          <w:p w14:paraId="1EFF7316">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数据中心防火墙</w:t>
            </w:r>
          </w:p>
        </w:tc>
        <w:tc>
          <w:tcPr>
            <w:tcW w:w="535" w:type="pct"/>
            <w:shd w:val="clear" w:color="auto" w:fill="auto"/>
            <w:vAlign w:val="center"/>
          </w:tcPr>
          <w:p w14:paraId="48EEE44A">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2</w:t>
            </w:r>
          </w:p>
        </w:tc>
        <w:tc>
          <w:tcPr>
            <w:tcW w:w="535" w:type="pct"/>
            <w:shd w:val="clear" w:color="auto" w:fill="auto"/>
            <w:vAlign w:val="center"/>
          </w:tcPr>
          <w:p w14:paraId="0FB8C7CC">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台</w:t>
            </w:r>
          </w:p>
        </w:tc>
        <w:tc>
          <w:tcPr>
            <w:tcW w:w="1483" w:type="pct"/>
            <w:shd w:val="clear" w:color="auto" w:fill="auto"/>
            <w:vAlign w:val="center"/>
          </w:tcPr>
          <w:p w14:paraId="3ED59994">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三年</w:t>
            </w:r>
          </w:p>
        </w:tc>
      </w:tr>
      <w:tr w14:paraId="696C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35" w:type="pct"/>
            <w:shd w:val="clear" w:color="auto" w:fill="auto"/>
            <w:vAlign w:val="center"/>
          </w:tcPr>
          <w:p w14:paraId="562D7387">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6</w:t>
            </w:r>
          </w:p>
        </w:tc>
        <w:tc>
          <w:tcPr>
            <w:tcW w:w="1912" w:type="pct"/>
            <w:shd w:val="clear" w:color="auto" w:fill="auto"/>
            <w:vAlign w:val="center"/>
          </w:tcPr>
          <w:p w14:paraId="28B5D6DD">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推理一体机</w:t>
            </w:r>
          </w:p>
        </w:tc>
        <w:tc>
          <w:tcPr>
            <w:tcW w:w="535" w:type="pct"/>
            <w:shd w:val="clear" w:color="auto" w:fill="auto"/>
            <w:vAlign w:val="center"/>
          </w:tcPr>
          <w:p w14:paraId="6300A770">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1</w:t>
            </w:r>
          </w:p>
        </w:tc>
        <w:tc>
          <w:tcPr>
            <w:tcW w:w="535" w:type="pct"/>
            <w:shd w:val="clear" w:color="auto" w:fill="auto"/>
            <w:vAlign w:val="center"/>
          </w:tcPr>
          <w:p w14:paraId="2B2454A5">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套</w:t>
            </w:r>
          </w:p>
        </w:tc>
        <w:tc>
          <w:tcPr>
            <w:tcW w:w="1483" w:type="pct"/>
            <w:shd w:val="clear" w:color="auto" w:fill="auto"/>
            <w:vAlign w:val="center"/>
          </w:tcPr>
          <w:p w14:paraId="2BD0196E">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三年</w:t>
            </w:r>
          </w:p>
        </w:tc>
      </w:tr>
      <w:tr w14:paraId="0F4A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35" w:type="pct"/>
            <w:shd w:val="clear" w:color="auto" w:fill="auto"/>
            <w:vAlign w:val="center"/>
          </w:tcPr>
          <w:p w14:paraId="7E0AFA7F">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7</w:t>
            </w:r>
          </w:p>
        </w:tc>
        <w:tc>
          <w:tcPr>
            <w:tcW w:w="1912" w:type="pct"/>
            <w:shd w:val="clear" w:color="auto" w:fill="auto"/>
            <w:vAlign w:val="center"/>
          </w:tcPr>
          <w:p w14:paraId="0638D6F9">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堡垒机</w:t>
            </w:r>
          </w:p>
        </w:tc>
        <w:tc>
          <w:tcPr>
            <w:tcW w:w="535" w:type="pct"/>
            <w:shd w:val="clear" w:color="auto" w:fill="auto"/>
            <w:vAlign w:val="center"/>
          </w:tcPr>
          <w:p w14:paraId="4D9BB33F">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1</w:t>
            </w:r>
          </w:p>
        </w:tc>
        <w:tc>
          <w:tcPr>
            <w:tcW w:w="535" w:type="pct"/>
            <w:shd w:val="clear" w:color="auto" w:fill="auto"/>
            <w:vAlign w:val="center"/>
          </w:tcPr>
          <w:p w14:paraId="693858D7">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台</w:t>
            </w:r>
          </w:p>
        </w:tc>
        <w:tc>
          <w:tcPr>
            <w:tcW w:w="1483" w:type="pct"/>
            <w:shd w:val="clear" w:color="auto" w:fill="auto"/>
            <w:vAlign w:val="center"/>
          </w:tcPr>
          <w:p w14:paraId="31B531F5">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三年</w:t>
            </w:r>
          </w:p>
        </w:tc>
      </w:tr>
      <w:tr w14:paraId="198E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35" w:type="pct"/>
            <w:shd w:val="clear" w:color="auto" w:fill="auto"/>
            <w:vAlign w:val="center"/>
          </w:tcPr>
          <w:p w14:paraId="31BFE77F">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8</w:t>
            </w:r>
          </w:p>
        </w:tc>
        <w:tc>
          <w:tcPr>
            <w:tcW w:w="1912" w:type="pct"/>
            <w:shd w:val="clear" w:color="auto" w:fill="auto"/>
            <w:vAlign w:val="center"/>
          </w:tcPr>
          <w:p w14:paraId="2A20C99B">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安全运营服务</w:t>
            </w:r>
          </w:p>
        </w:tc>
        <w:tc>
          <w:tcPr>
            <w:tcW w:w="535" w:type="pct"/>
            <w:shd w:val="clear" w:color="auto" w:fill="auto"/>
            <w:vAlign w:val="center"/>
          </w:tcPr>
          <w:p w14:paraId="46E30A50">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1</w:t>
            </w:r>
          </w:p>
        </w:tc>
        <w:tc>
          <w:tcPr>
            <w:tcW w:w="535" w:type="pct"/>
            <w:shd w:val="clear" w:color="auto" w:fill="auto"/>
            <w:vAlign w:val="center"/>
          </w:tcPr>
          <w:p w14:paraId="0F0F7216">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套</w:t>
            </w:r>
          </w:p>
        </w:tc>
        <w:tc>
          <w:tcPr>
            <w:tcW w:w="1483" w:type="pct"/>
            <w:shd w:val="clear" w:color="auto" w:fill="auto"/>
            <w:vAlign w:val="center"/>
          </w:tcPr>
          <w:p w14:paraId="5E98735B">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一年</w:t>
            </w:r>
          </w:p>
        </w:tc>
      </w:tr>
      <w:tr w14:paraId="5084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35" w:type="pct"/>
            <w:shd w:val="clear" w:color="auto" w:fill="auto"/>
            <w:vAlign w:val="center"/>
          </w:tcPr>
          <w:p w14:paraId="06338DAA">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9</w:t>
            </w:r>
          </w:p>
        </w:tc>
        <w:tc>
          <w:tcPr>
            <w:tcW w:w="1912" w:type="pct"/>
            <w:shd w:val="clear" w:color="auto" w:fill="auto"/>
            <w:vAlign w:val="center"/>
          </w:tcPr>
          <w:p w14:paraId="02CE65B7">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数据库审计</w:t>
            </w:r>
          </w:p>
        </w:tc>
        <w:tc>
          <w:tcPr>
            <w:tcW w:w="535" w:type="pct"/>
            <w:shd w:val="clear" w:color="auto" w:fill="auto"/>
            <w:vAlign w:val="center"/>
          </w:tcPr>
          <w:p w14:paraId="4320BE60">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1</w:t>
            </w:r>
          </w:p>
        </w:tc>
        <w:tc>
          <w:tcPr>
            <w:tcW w:w="535" w:type="pct"/>
            <w:shd w:val="clear" w:color="auto" w:fill="auto"/>
            <w:vAlign w:val="center"/>
          </w:tcPr>
          <w:p w14:paraId="5A3438C0">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套</w:t>
            </w:r>
          </w:p>
        </w:tc>
        <w:tc>
          <w:tcPr>
            <w:tcW w:w="1483" w:type="pct"/>
            <w:shd w:val="clear" w:color="auto" w:fill="auto"/>
            <w:vAlign w:val="center"/>
          </w:tcPr>
          <w:p w14:paraId="2072005C">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三年</w:t>
            </w:r>
          </w:p>
        </w:tc>
      </w:tr>
      <w:tr w14:paraId="775B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35" w:type="pct"/>
            <w:shd w:val="clear" w:color="auto" w:fill="auto"/>
            <w:vAlign w:val="center"/>
          </w:tcPr>
          <w:p w14:paraId="05F1D2A5">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10</w:t>
            </w:r>
          </w:p>
        </w:tc>
        <w:tc>
          <w:tcPr>
            <w:tcW w:w="1912" w:type="pct"/>
            <w:shd w:val="clear" w:color="auto" w:fill="auto"/>
            <w:vAlign w:val="center"/>
          </w:tcPr>
          <w:p w14:paraId="292AB146">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内网安全管理系统</w:t>
            </w:r>
          </w:p>
        </w:tc>
        <w:tc>
          <w:tcPr>
            <w:tcW w:w="535" w:type="pct"/>
            <w:shd w:val="clear" w:color="auto" w:fill="auto"/>
            <w:vAlign w:val="center"/>
          </w:tcPr>
          <w:p w14:paraId="65DFA025">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1</w:t>
            </w:r>
          </w:p>
        </w:tc>
        <w:tc>
          <w:tcPr>
            <w:tcW w:w="535" w:type="pct"/>
            <w:shd w:val="clear" w:color="auto" w:fill="auto"/>
            <w:vAlign w:val="center"/>
          </w:tcPr>
          <w:p w14:paraId="4F0FA3DA">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套</w:t>
            </w:r>
          </w:p>
        </w:tc>
        <w:tc>
          <w:tcPr>
            <w:tcW w:w="1483" w:type="pct"/>
            <w:shd w:val="clear" w:color="auto" w:fill="auto"/>
            <w:vAlign w:val="center"/>
          </w:tcPr>
          <w:p w14:paraId="260DB811">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一年</w:t>
            </w:r>
          </w:p>
        </w:tc>
      </w:tr>
      <w:tr w14:paraId="24A4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35" w:type="pct"/>
            <w:shd w:val="clear" w:color="auto" w:fill="auto"/>
            <w:vAlign w:val="center"/>
          </w:tcPr>
          <w:p w14:paraId="7D92E8BB">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11</w:t>
            </w:r>
          </w:p>
        </w:tc>
        <w:tc>
          <w:tcPr>
            <w:tcW w:w="1912" w:type="pct"/>
            <w:shd w:val="clear" w:color="auto" w:fill="auto"/>
            <w:vAlign w:val="center"/>
          </w:tcPr>
          <w:p w14:paraId="07F75508">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分布式存储设备</w:t>
            </w:r>
          </w:p>
        </w:tc>
        <w:tc>
          <w:tcPr>
            <w:tcW w:w="535" w:type="pct"/>
            <w:shd w:val="clear" w:color="auto" w:fill="auto"/>
            <w:vAlign w:val="center"/>
          </w:tcPr>
          <w:p w14:paraId="3685DA91">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1</w:t>
            </w:r>
          </w:p>
        </w:tc>
        <w:tc>
          <w:tcPr>
            <w:tcW w:w="535" w:type="pct"/>
            <w:shd w:val="clear" w:color="auto" w:fill="auto"/>
            <w:vAlign w:val="center"/>
          </w:tcPr>
          <w:p w14:paraId="481EAB2A">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套</w:t>
            </w:r>
          </w:p>
        </w:tc>
        <w:tc>
          <w:tcPr>
            <w:tcW w:w="1483" w:type="pct"/>
            <w:shd w:val="clear" w:color="auto" w:fill="auto"/>
            <w:vAlign w:val="center"/>
          </w:tcPr>
          <w:p w14:paraId="5B9956D4">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三年</w:t>
            </w:r>
          </w:p>
        </w:tc>
      </w:tr>
      <w:tr w14:paraId="0455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35" w:type="pct"/>
            <w:shd w:val="clear" w:color="auto" w:fill="auto"/>
            <w:vAlign w:val="center"/>
          </w:tcPr>
          <w:p w14:paraId="64DBE22B">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12</w:t>
            </w:r>
          </w:p>
        </w:tc>
        <w:tc>
          <w:tcPr>
            <w:tcW w:w="1912" w:type="pct"/>
            <w:shd w:val="clear" w:color="auto" w:fill="auto"/>
            <w:vAlign w:val="center"/>
          </w:tcPr>
          <w:p w14:paraId="62806AC7">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存储交换机</w:t>
            </w:r>
          </w:p>
        </w:tc>
        <w:tc>
          <w:tcPr>
            <w:tcW w:w="535" w:type="pct"/>
            <w:shd w:val="clear" w:color="auto" w:fill="auto"/>
            <w:vAlign w:val="center"/>
          </w:tcPr>
          <w:p w14:paraId="738D485B">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2</w:t>
            </w:r>
          </w:p>
        </w:tc>
        <w:tc>
          <w:tcPr>
            <w:tcW w:w="535" w:type="pct"/>
            <w:shd w:val="clear" w:color="auto" w:fill="auto"/>
            <w:vAlign w:val="center"/>
          </w:tcPr>
          <w:p w14:paraId="0E1DB2C3">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台</w:t>
            </w:r>
          </w:p>
        </w:tc>
        <w:tc>
          <w:tcPr>
            <w:tcW w:w="1483" w:type="pct"/>
            <w:shd w:val="clear" w:color="auto" w:fill="auto"/>
            <w:vAlign w:val="center"/>
          </w:tcPr>
          <w:p w14:paraId="245FA54E">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三年</w:t>
            </w:r>
          </w:p>
        </w:tc>
      </w:tr>
      <w:tr w14:paraId="0930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35" w:type="pct"/>
            <w:shd w:val="clear" w:color="auto" w:fill="auto"/>
            <w:vAlign w:val="center"/>
          </w:tcPr>
          <w:p w14:paraId="594D199A">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13</w:t>
            </w:r>
          </w:p>
        </w:tc>
        <w:tc>
          <w:tcPr>
            <w:tcW w:w="1912" w:type="pct"/>
            <w:shd w:val="clear" w:color="auto" w:fill="auto"/>
            <w:vAlign w:val="center"/>
          </w:tcPr>
          <w:p w14:paraId="7DDC1BBB">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防火墙1</w:t>
            </w:r>
          </w:p>
        </w:tc>
        <w:tc>
          <w:tcPr>
            <w:tcW w:w="535" w:type="pct"/>
            <w:shd w:val="clear" w:color="auto" w:fill="auto"/>
            <w:vAlign w:val="center"/>
          </w:tcPr>
          <w:p w14:paraId="0020DFA1">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1</w:t>
            </w:r>
          </w:p>
        </w:tc>
        <w:tc>
          <w:tcPr>
            <w:tcW w:w="535" w:type="pct"/>
            <w:shd w:val="clear" w:color="auto" w:fill="auto"/>
            <w:vAlign w:val="center"/>
          </w:tcPr>
          <w:p w14:paraId="082FDF5C">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台</w:t>
            </w:r>
          </w:p>
        </w:tc>
        <w:tc>
          <w:tcPr>
            <w:tcW w:w="1483" w:type="pct"/>
            <w:shd w:val="clear" w:color="auto" w:fill="auto"/>
            <w:vAlign w:val="center"/>
          </w:tcPr>
          <w:p w14:paraId="2F9884EC">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三年</w:t>
            </w:r>
          </w:p>
        </w:tc>
      </w:tr>
      <w:tr w14:paraId="683D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35" w:type="pct"/>
            <w:shd w:val="clear" w:color="auto" w:fill="auto"/>
            <w:vAlign w:val="center"/>
          </w:tcPr>
          <w:p w14:paraId="142D0855">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14</w:t>
            </w:r>
          </w:p>
        </w:tc>
        <w:tc>
          <w:tcPr>
            <w:tcW w:w="1912" w:type="pct"/>
            <w:shd w:val="clear" w:color="auto" w:fill="auto"/>
            <w:vAlign w:val="center"/>
          </w:tcPr>
          <w:p w14:paraId="1EA5626F">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防火墙2</w:t>
            </w:r>
          </w:p>
        </w:tc>
        <w:tc>
          <w:tcPr>
            <w:tcW w:w="535" w:type="pct"/>
            <w:shd w:val="clear" w:color="auto" w:fill="auto"/>
            <w:vAlign w:val="center"/>
          </w:tcPr>
          <w:p w14:paraId="49BE0B56">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1</w:t>
            </w:r>
          </w:p>
        </w:tc>
        <w:tc>
          <w:tcPr>
            <w:tcW w:w="535" w:type="pct"/>
            <w:shd w:val="clear" w:color="auto" w:fill="auto"/>
            <w:vAlign w:val="center"/>
          </w:tcPr>
          <w:p w14:paraId="1AC5BD9F">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台</w:t>
            </w:r>
          </w:p>
        </w:tc>
        <w:tc>
          <w:tcPr>
            <w:tcW w:w="1483" w:type="pct"/>
            <w:shd w:val="clear" w:color="auto" w:fill="auto"/>
            <w:vAlign w:val="center"/>
          </w:tcPr>
          <w:p w14:paraId="2F08309D">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三年</w:t>
            </w:r>
          </w:p>
        </w:tc>
      </w:tr>
      <w:tr w14:paraId="174D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35" w:type="pct"/>
            <w:shd w:val="clear" w:color="auto" w:fill="auto"/>
            <w:vAlign w:val="center"/>
          </w:tcPr>
          <w:p w14:paraId="24C28739">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15</w:t>
            </w:r>
          </w:p>
        </w:tc>
        <w:tc>
          <w:tcPr>
            <w:tcW w:w="1912" w:type="pct"/>
            <w:shd w:val="clear" w:color="auto" w:fill="auto"/>
            <w:vAlign w:val="center"/>
          </w:tcPr>
          <w:p w14:paraId="55CA65CE">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日志分析管理系统</w:t>
            </w:r>
          </w:p>
        </w:tc>
        <w:tc>
          <w:tcPr>
            <w:tcW w:w="535" w:type="pct"/>
            <w:shd w:val="clear" w:color="auto" w:fill="auto"/>
            <w:vAlign w:val="center"/>
          </w:tcPr>
          <w:p w14:paraId="50B07058">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1</w:t>
            </w:r>
          </w:p>
        </w:tc>
        <w:tc>
          <w:tcPr>
            <w:tcW w:w="535" w:type="pct"/>
            <w:shd w:val="clear" w:color="auto" w:fill="auto"/>
            <w:vAlign w:val="center"/>
          </w:tcPr>
          <w:p w14:paraId="1BD2B803">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台</w:t>
            </w:r>
          </w:p>
        </w:tc>
        <w:tc>
          <w:tcPr>
            <w:tcW w:w="1483" w:type="pct"/>
            <w:shd w:val="clear" w:color="auto" w:fill="auto"/>
            <w:vAlign w:val="center"/>
          </w:tcPr>
          <w:p w14:paraId="7DEA0EF9">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三年</w:t>
            </w:r>
          </w:p>
        </w:tc>
      </w:tr>
      <w:tr w14:paraId="63FF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35" w:type="pct"/>
            <w:shd w:val="clear" w:color="auto" w:fill="auto"/>
            <w:vAlign w:val="center"/>
          </w:tcPr>
          <w:p w14:paraId="0CEA0FDB">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16</w:t>
            </w:r>
          </w:p>
        </w:tc>
        <w:tc>
          <w:tcPr>
            <w:tcW w:w="1912" w:type="pct"/>
            <w:shd w:val="clear" w:color="auto" w:fill="auto"/>
            <w:vAlign w:val="center"/>
          </w:tcPr>
          <w:p w14:paraId="0A6EF8B6">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态势感知探针</w:t>
            </w:r>
          </w:p>
        </w:tc>
        <w:tc>
          <w:tcPr>
            <w:tcW w:w="535" w:type="pct"/>
            <w:shd w:val="clear" w:color="auto" w:fill="auto"/>
            <w:vAlign w:val="center"/>
          </w:tcPr>
          <w:p w14:paraId="5E4821C7">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2</w:t>
            </w:r>
          </w:p>
        </w:tc>
        <w:tc>
          <w:tcPr>
            <w:tcW w:w="535" w:type="pct"/>
            <w:shd w:val="clear" w:color="auto" w:fill="auto"/>
            <w:vAlign w:val="center"/>
          </w:tcPr>
          <w:p w14:paraId="1044A9F6">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台</w:t>
            </w:r>
          </w:p>
        </w:tc>
        <w:tc>
          <w:tcPr>
            <w:tcW w:w="1483" w:type="pct"/>
            <w:shd w:val="clear" w:color="auto" w:fill="auto"/>
            <w:vAlign w:val="center"/>
          </w:tcPr>
          <w:p w14:paraId="3538ED9A">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三年</w:t>
            </w:r>
          </w:p>
        </w:tc>
      </w:tr>
      <w:tr w14:paraId="1556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35" w:type="pct"/>
            <w:shd w:val="clear" w:color="auto" w:fill="auto"/>
            <w:vAlign w:val="center"/>
          </w:tcPr>
          <w:p w14:paraId="6EF48B7E">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17</w:t>
            </w:r>
          </w:p>
        </w:tc>
        <w:tc>
          <w:tcPr>
            <w:tcW w:w="1912" w:type="pct"/>
            <w:shd w:val="clear" w:color="auto" w:fill="auto"/>
            <w:vAlign w:val="center"/>
          </w:tcPr>
          <w:p w14:paraId="36985284">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Web防火墙</w:t>
            </w:r>
          </w:p>
        </w:tc>
        <w:tc>
          <w:tcPr>
            <w:tcW w:w="535" w:type="pct"/>
            <w:shd w:val="clear" w:color="auto" w:fill="auto"/>
            <w:vAlign w:val="center"/>
          </w:tcPr>
          <w:p w14:paraId="0CA2619B">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1</w:t>
            </w:r>
          </w:p>
        </w:tc>
        <w:tc>
          <w:tcPr>
            <w:tcW w:w="535" w:type="pct"/>
            <w:shd w:val="clear" w:color="auto" w:fill="auto"/>
            <w:vAlign w:val="center"/>
          </w:tcPr>
          <w:p w14:paraId="4C872E01">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台</w:t>
            </w:r>
          </w:p>
        </w:tc>
        <w:tc>
          <w:tcPr>
            <w:tcW w:w="1483" w:type="pct"/>
            <w:shd w:val="clear" w:color="auto" w:fill="auto"/>
            <w:vAlign w:val="center"/>
          </w:tcPr>
          <w:p w14:paraId="78FCCD21">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三年</w:t>
            </w:r>
          </w:p>
        </w:tc>
      </w:tr>
      <w:tr w14:paraId="69A1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35" w:type="pct"/>
            <w:shd w:val="clear" w:color="auto" w:fill="auto"/>
            <w:vAlign w:val="center"/>
          </w:tcPr>
          <w:p w14:paraId="2BBA923F">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18</w:t>
            </w:r>
          </w:p>
        </w:tc>
        <w:tc>
          <w:tcPr>
            <w:tcW w:w="1912" w:type="pct"/>
            <w:shd w:val="clear" w:color="auto" w:fill="auto"/>
            <w:vAlign w:val="center"/>
          </w:tcPr>
          <w:p w14:paraId="2F8948AA">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系统集成</w:t>
            </w:r>
          </w:p>
        </w:tc>
        <w:tc>
          <w:tcPr>
            <w:tcW w:w="535" w:type="pct"/>
            <w:shd w:val="clear" w:color="auto" w:fill="auto"/>
            <w:vAlign w:val="center"/>
          </w:tcPr>
          <w:p w14:paraId="40B56A10">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1</w:t>
            </w:r>
          </w:p>
        </w:tc>
        <w:tc>
          <w:tcPr>
            <w:tcW w:w="535" w:type="pct"/>
            <w:shd w:val="clear" w:color="auto" w:fill="auto"/>
            <w:vAlign w:val="center"/>
          </w:tcPr>
          <w:p w14:paraId="0AB2CC85">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项</w:t>
            </w:r>
          </w:p>
        </w:tc>
        <w:tc>
          <w:tcPr>
            <w:tcW w:w="1483" w:type="pct"/>
            <w:shd w:val="clear" w:color="auto" w:fill="auto"/>
            <w:vAlign w:val="center"/>
          </w:tcPr>
          <w:p w14:paraId="085CC297">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一年</w:t>
            </w:r>
          </w:p>
        </w:tc>
      </w:tr>
      <w:tr w14:paraId="12F9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35" w:type="pct"/>
            <w:shd w:val="clear" w:color="auto" w:fill="auto"/>
            <w:vAlign w:val="center"/>
          </w:tcPr>
          <w:p w14:paraId="01D3E944">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19</w:t>
            </w:r>
          </w:p>
        </w:tc>
        <w:tc>
          <w:tcPr>
            <w:tcW w:w="1912" w:type="pct"/>
            <w:shd w:val="clear" w:color="auto" w:fill="auto"/>
            <w:vAlign w:val="center"/>
          </w:tcPr>
          <w:p w14:paraId="39A8958B">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机房运维</w:t>
            </w:r>
          </w:p>
        </w:tc>
        <w:tc>
          <w:tcPr>
            <w:tcW w:w="535" w:type="pct"/>
            <w:shd w:val="clear" w:color="auto" w:fill="auto"/>
            <w:vAlign w:val="center"/>
          </w:tcPr>
          <w:p w14:paraId="137DC60D">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1</w:t>
            </w:r>
          </w:p>
        </w:tc>
        <w:tc>
          <w:tcPr>
            <w:tcW w:w="535" w:type="pct"/>
            <w:shd w:val="clear" w:color="auto" w:fill="auto"/>
            <w:vAlign w:val="center"/>
          </w:tcPr>
          <w:p w14:paraId="5B238EF4">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项</w:t>
            </w:r>
          </w:p>
        </w:tc>
        <w:tc>
          <w:tcPr>
            <w:tcW w:w="1483" w:type="pct"/>
            <w:shd w:val="clear" w:color="auto" w:fill="auto"/>
            <w:vAlign w:val="center"/>
          </w:tcPr>
          <w:p w14:paraId="7E300340">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一年</w:t>
            </w:r>
          </w:p>
        </w:tc>
      </w:tr>
      <w:tr w14:paraId="0476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35" w:type="pct"/>
            <w:shd w:val="clear" w:color="auto" w:fill="auto"/>
            <w:vAlign w:val="center"/>
          </w:tcPr>
          <w:p w14:paraId="0CD20A7B">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20</w:t>
            </w:r>
          </w:p>
        </w:tc>
        <w:tc>
          <w:tcPr>
            <w:tcW w:w="1912" w:type="pct"/>
            <w:shd w:val="clear" w:color="auto" w:fill="auto"/>
            <w:vAlign w:val="center"/>
          </w:tcPr>
          <w:p w14:paraId="70E8CD5F">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精密空调运维</w:t>
            </w:r>
          </w:p>
        </w:tc>
        <w:tc>
          <w:tcPr>
            <w:tcW w:w="535" w:type="pct"/>
            <w:shd w:val="clear" w:color="auto" w:fill="auto"/>
            <w:vAlign w:val="center"/>
          </w:tcPr>
          <w:p w14:paraId="2E1BBAA9">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1</w:t>
            </w:r>
          </w:p>
        </w:tc>
        <w:tc>
          <w:tcPr>
            <w:tcW w:w="535" w:type="pct"/>
            <w:shd w:val="clear" w:color="auto" w:fill="auto"/>
            <w:vAlign w:val="center"/>
          </w:tcPr>
          <w:p w14:paraId="78D4B6B0">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项</w:t>
            </w:r>
          </w:p>
        </w:tc>
        <w:tc>
          <w:tcPr>
            <w:tcW w:w="1483" w:type="pct"/>
            <w:shd w:val="clear" w:color="auto" w:fill="auto"/>
            <w:vAlign w:val="center"/>
          </w:tcPr>
          <w:p w14:paraId="13718137">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一年</w:t>
            </w:r>
          </w:p>
        </w:tc>
      </w:tr>
    </w:tbl>
    <w:p w14:paraId="393A0614">
      <w:pPr>
        <w:spacing w:line="360" w:lineRule="auto"/>
        <w:rPr>
          <w:rFonts w:ascii="Times New Roman" w:hAnsi="Times New Roman" w:cs="Times New Roman"/>
          <w:lang w:val="en"/>
        </w:rPr>
      </w:pPr>
      <w:r>
        <w:rPr>
          <w:rFonts w:hint="eastAsia" w:ascii="Times New Roman" w:hAnsi="Times New Roman" w:cs="Times New Roman"/>
          <w:lang w:val="en"/>
        </w:rPr>
        <w:t>注：</w:t>
      </w:r>
    </w:p>
    <w:p w14:paraId="0AB9391C">
      <w:pPr>
        <w:spacing w:line="360" w:lineRule="auto"/>
        <w:rPr>
          <w:rFonts w:ascii="Times New Roman" w:hAnsi="Times New Roman" w:cs="Times New Roman"/>
          <w:lang w:val="en"/>
        </w:rPr>
      </w:pPr>
      <w:r>
        <w:rPr>
          <w:rFonts w:hint="eastAsia" w:ascii="Times New Roman" w:hAnsi="Times New Roman" w:cs="Times New Roman"/>
          <w:lang w:val="en"/>
        </w:rPr>
        <w:t>加注“▲”号的产品为核心产品</w:t>
      </w:r>
    </w:p>
    <w:p w14:paraId="43B8A10F">
      <w:pPr>
        <w:pStyle w:val="3"/>
        <w:pageBreakBefore/>
        <w:numPr>
          <w:ilvl w:val="0"/>
          <w:numId w:val="0"/>
        </w:numPr>
        <w:spacing w:line="360" w:lineRule="auto"/>
        <w:jc w:val="left"/>
        <w:rPr>
          <w:rFonts w:ascii="宋体" w:hAnsi="宋体" w:eastAsia="宋体" w:cs="Times New Roman"/>
          <w:color w:val="auto"/>
          <w:sz w:val="24"/>
          <w:szCs w:val="24"/>
        </w:rPr>
      </w:pPr>
      <w:r>
        <w:rPr>
          <w:rFonts w:hint="eastAsia" w:ascii="宋体" w:hAnsi="宋体" w:eastAsia="宋体" w:cs="Times New Roman"/>
          <w:color w:val="auto"/>
          <w:sz w:val="24"/>
          <w:szCs w:val="24"/>
        </w:rPr>
        <w:t>（三）</w:t>
      </w:r>
      <w:r>
        <w:rPr>
          <w:rFonts w:ascii="宋体" w:hAnsi="宋体" w:eastAsia="宋体" w:cs="Times New Roman"/>
          <w:color w:val="auto"/>
          <w:sz w:val="24"/>
          <w:szCs w:val="24"/>
        </w:rPr>
        <w:t>技术参数要求</w:t>
      </w:r>
    </w:p>
    <w:p w14:paraId="5BE1DCDE">
      <w:pPr>
        <w:pStyle w:val="4"/>
        <w:numPr>
          <w:ilvl w:val="0"/>
          <w:numId w:val="0"/>
        </w:num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1</w:t>
      </w:r>
      <w:r>
        <w:rPr>
          <w:rFonts w:hint="eastAsia" w:ascii="宋体" w:hAnsi="宋体" w:eastAsia="宋体" w:cs="Times New Roman"/>
          <w:color w:val="auto"/>
          <w:sz w:val="24"/>
          <w:szCs w:val="24"/>
        </w:rPr>
        <w:t>、数据库服务器</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839"/>
        <w:gridCol w:w="1209"/>
        <w:gridCol w:w="2252"/>
        <w:gridCol w:w="3676"/>
      </w:tblGrid>
      <w:tr w14:paraId="6D3E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0" w:type="pct"/>
            <w:shd w:val="clear" w:color="auto" w:fill="auto"/>
            <w:vAlign w:val="center"/>
          </w:tcPr>
          <w:p w14:paraId="5561A1AE">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序号</w:t>
            </w:r>
          </w:p>
        </w:tc>
        <w:tc>
          <w:tcPr>
            <w:tcW w:w="513" w:type="pct"/>
            <w:shd w:val="clear" w:color="auto" w:fill="auto"/>
            <w:vAlign w:val="center"/>
          </w:tcPr>
          <w:p w14:paraId="1D847285">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指标分类</w:t>
            </w:r>
          </w:p>
        </w:tc>
        <w:tc>
          <w:tcPr>
            <w:tcW w:w="729" w:type="pct"/>
            <w:shd w:val="clear" w:color="auto" w:fill="auto"/>
            <w:vAlign w:val="center"/>
          </w:tcPr>
          <w:p w14:paraId="7D2A17C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一级指标</w:t>
            </w:r>
          </w:p>
        </w:tc>
        <w:tc>
          <w:tcPr>
            <w:tcW w:w="1341" w:type="pct"/>
            <w:shd w:val="clear" w:color="auto" w:fill="auto"/>
            <w:vAlign w:val="center"/>
          </w:tcPr>
          <w:p w14:paraId="52DF27BA">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二级指标</w:t>
            </w:r>
          </w:p>
        </w:tc>
        <w:tc>
          <w:tcPr>
            <w:tcW w:w="2177" w:type="pct"/>
            <w:shd w:val="clear" w:color="auto" w:fill="auto"/>
            <w:vAlign w:val="center"/>
          </w:tcPr>
          <w:p w14:paraId="5603DCEA">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指标要求</w:t>
            </w:r>
          </w:p>
        </w:tc>
      </w:tr>
      <w:tr w14:paraId="55C2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40" w:type="pct"/>
            <w:shd w:val="clear" w:color="auto" w:fill="auto"/>
            <w:vAlign w:val="center"/>
          </w:tcPr>
          <w:p w14:paraId="225A0B40">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1</w:t>
            </w:r>
          </w:p>
        </w:tc>
        <w:tc>
          <w:tcPr>
            <w:tcW w:w="513" w:type="pct"/>
            <w:shd w:val="clear" w:color="auto" w:fill="auto"/>
            <w:vAlign w:val="center"/>
          </w:tcPr>
          <w:p w14:paraId="736E6572">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shd w:val="clear" w:color="auto" w:fill="auto"/>
            <w:vAlign w:val="center"/>
          </w:tcPr>
          <w:p w14:paraId="6D36C66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CPU规格</w:t>
            </w:r>
          </w:p>
        </w:tc>
        <w:tc>
          <w:tcPr>
            <w:tcW w:w="1341" w:type="pct"/>
            <w:shd w:val="clear" w:color="auto" w:fill="auto"/>
            <w:vAlign w:val="center"/>
          </w:tcPr>
          <w:p w14:paraId="6965CD75">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★CPU信息</w:t>
            </w:r>
          </w:p>
        </w:tc>
        <w:tc>
          <w:tcPr>
            <w:tcW w:w="2177" w:type="pct"/>
            <w:shd w:val="clear" w:color="auto" w:fill="auto"/>
            <w:vAlign w:val="center"/>
          </w:tcPr>
          <w:p w14:paraId="0187E756">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配置2颗处理器，单颗处理器主频≥2.2GHz，单颗处理器核心数≥32核心，支持双线程技术。</w:t>
            </w:r>
          </w:p>
        </w:tc>
      </w:tr>
      <w:tr w14:paraId="0AB21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40" w:type="pct"/>
            <w:shd w:val="clear" w:color="auto" w:fill="auto"/>
            <w:vAlign w:val="center"/>
          </w:tcPr>
          <w:p w14:paraId="2119EB7A">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2</w:t>
            </w:r>
          </w:p>
        </w:tc>
        <w:tc>
          <w:tcPr>
            <w:tcW w:w="513" w:type="pct"/>
            <w:shd w:val="clear" w:color="auto" w:fill="auto"/>
            <w:vAlign w:val="center"/>
          </w:tcPr>
          <w:p w14:paraId="7A6B7039">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restart"/>
            <w:shd w:val="clear" w:color="auto" w:fill="auto"/>
            <w:vAlign w:val="center"/>
          </w:tcPr>
          <w:p w14:paraId="06BD30CC">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主板规格</w:t>
            </w:r>
          </w:p>
        </w:tc>
        <w:tc>
          <w:tcPr>
            <w:tcW w:w="1341" w:type="pct"/>
            <w:shd w:val="clear" w:color="auto" w:fill="auto"/>
            <w:vAlign w:val="center"/>
          </w:tcPr>
          <w:p w14:paraId="2305BFC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★主板支持的CPU和内存情况</w:t>
            </w:r>
          </w:p>
        </w:tc>
        <w:tc>
          <w:tcPr>
            <w:tcW w:w="2177" w:type="pct"/>
            <w:shd w:val="clear" w:color="auto" w:fill="auto"/>
            <w:vAlign w:val="center"/>
          </w:tcPr>
          <w:p w14:paraId="2E9AFB9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支持DDR4主流内存型号；</w:t>
            </w:r>
          </w:p>
        </w:tc>
      </w:tr>
      <w:tr w14:paraId="05AA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40" w:type="pct"/>
            <w:shd w:val="clear" w:color="auto" w:fill="auto"/>
            <w:vAlign w:val="center"/>
          </w:tcPr>
          <w:p w14:paraId="6E53931B">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3</w:t>
            </w:r>
          </w:p>
        </w:tc>
        <w:tc>
          <w:tcPr>
            <w:tcW w:w="513" w:type="pct"/>
            <w:shd w:val="clear" w:color="auto" w:fill="auto"/>
            <w:vAlign w:val="center"/>
          </w:tcPr>
          <w:p w14:paraId="173F5258">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continue"/>
            <w:vAlign w:val="center"/>
          </w:tcPr>
          <w:p w14:paraId="7346C438">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7CE298C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★主板内存槽数量</w:t>
            </w:r>
          </w:p>
        </w:tc>
        <w:tc>
          <w:tcPr>
            <w:tcW w:w="2177" w:type="pct"/>
            <w:shd w:val="clear" w:color="auto" w:fill="auto"/>
            <w:vAlign w:val="center"/>
          </w:tcPr>
          <w:p w14:paraId="1C0BA44C">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内存插槽：服务器最大支持≥16个内存插槽，最高速率</w:t>
            </w:r>
            <w:r>
              <w:rPr>
                <w:rFonts w:hint="eastAsia" w:ascii="宋体" w:hAnsi="宋体" w:cs="宋体"/>
                <w:kern w:val="0"/>
                <w:szCs w:val="24"/>
                <w14:ligatures w14:val="none"/>
              </w:rPr>
              <w:t>3200MT/s</w:t>
            </w:r>
          </w:p>
        </w:tc>
      </w:tr>
      <w:tr w14:paraId="0385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0" w:type="pct"/>
            <w:shd w:val="clear" w:color="auto" w:fill="auto"/>
            <w:vAlign w:val="center"/>
          </w:tcPr>
          <w:p w14:paraId="7FA03A9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4</w:t>
            </w:r>
          </w:p>
        </w:tc>
        <w:tc>
          <w:tcPr>
            <w:tcW w:w="513" w:type="pct"/>
            <w:shd w:val="clear" w:color="auto" w:fill="auto"/>
            <w:vAlign w:val="center"/>
          </w:tcPr>
          <w:p w14:paraId="40F4BD66">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continue"/>
            <w:vAlign w:val="center"/>
          </w:tcPr>
          <w:p w14:paraId="0812C65A">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53502B6F">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★主板存储接口</w:t>
            </w:r>
          </w:p>
        </w:tc>
        <w:tc>
          <w:tcPr>
            <w:tcW w:w="2177" w:type="pct"/>
            <w:shd w:val="clear" w:color="auto" w:fill="auto"/>
            <w:vAlign w:val="center"/>
          </w:tcPr>
          <w:p w14:paraId="459F18C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支持SAS/SATA等存储接口</w:t>
            </w:r>
          </w:p>
        </w:tc>
      </w:tr>
      <w:tr w14:paraId="04B0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40" w:type="pct"/>
            <w:shd w:val="clear" w:color="auto" w:fill="auto"/>
            <w:vAlign w:val="center"/>
          </w:tcPr>
          <w:p w14:paraId="4457A659">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5</w:t>
            </w:r>
          </w:p>
        </w:tc>
        <w:tc>
          <w:tcPr>
            <w:tcW w:w="513" w:type="pct"/>
            <w:shd w:val="clear" w:color="auto" w:fill="auto"/>
            <w:vAlign w:val="center"/>
          </w:tcPr>
          <w:p w14:paraId="71958CEE">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continue"/>
            <w:vAlign w:val="center"/>
          </w:tcPr>
          <w:p w14:paraId="114C762F">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3D5E95F5">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★PCIe插槽接口</w:t>
            </w:r>
          </w:p>
        </w:tc>
        <w:tc>
          <w:tcPr>
            <w:tcW w:w="2177" w:type="pct"/>
            <w:shd w:val="clear" w:color="auto" w:fill="auto"/>
            <w:vAlign w:val="center"/>
          </w:tcPr>
          <w:p w14:paraId="70ABAA46">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符合PCIe4.0或以上的高速串行计算机扩展总线标准，PCIe的接口速率与位宽需保证向下兼容</w:t>
            </w:r>
          </w:p>
        </w:tc>
      </w:tr>
      <w:tr w14:paraId="431E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0" w:type="pct"/>
            <w:shd w:val="clear" w:color="auto" w:fill="auto"/>
            <w:vAlign w:val="center"/>
          </w:tcPr>
          <w:p w14:paraId="754FE095">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6</w:t>
            </w:r>
          </w:p>
        </w:tc>
        <w:tc>
          <w:tcPr>
            <w:tcW w:w="513" w:type="pct"/>
            <w:shd w:val="clear" w:color="auto" w:fill="auto"/>
            <w:vAlign w:val="center"/>
          </w:tcPr>
          <w:p w14:paraId="1467B03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continue"/>
            <w:vAlign w:val="center"/>
          </w:tcPr>
          <w:p w14:paraId="68DFD9A9">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6EAE24A0">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★主板PCIe插槽数量及规格</w:t>
            </w:r>
          </w:p>
        </w:tc>
        <w:tc>
          <w:tcPr>
            <w:tcW w:w="2177" w:type="pct"/>
            <w:shd w:val="clear" w:color="auto" w:fill="auto"/>
            <w:vAlign w:val="center"/>
          </w:tcPr>
          <w:p w14:paraId="29BFEE1C">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最大支持≥10个PCIe4.0速率插槽</w:t>
            </w:r>
          </w:p>
        </w:tc>
      </w:tr>
      <w:tr w14:paraId="4E4E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0" w:type="pct"/>
            <w:shd w:val="clear" w:color="auto" w:fill="auto"/>
            <w:vAlign w:val="center"/>
          </w:tcPr>
          <w:p w14:paraId="029CD3B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7</w:t>
            </w:r>
          </w:p>
        </w:tc>
        <w:tc>
          <w:tcPr>
            <w:tcW w:w="513" w:type="pct"/>
            <w:shd w:val="clear" w:color="auto" w:fill="auto"/>
            <w:vAlign w:val="center"/>
          </w:tcPr>
          <w:p w14:paraId="5572D5F1">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continue"/>
            <w:vAlign w:val="center"/>
          </w:tcPr>
          <w:p w14:paraId="31865CD0">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0AA37560">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特殊孔位及接口</w:t>
            </w:r>
          </w:p>
        </w:tc>
        <w:tc>
          <w:tcPr>
            <w:tcW w:w="2177" w:type="pct"/>
            <w:shd w:val="clear" w:color="auto" w:fill="auto"/>
            <w:vAlign w:val="center"/>
          </w:tcPr>
          <w:p w14:paraId="3BDAA73C">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不涉及</w:t>
            </w:r>
          </w:p>
        </w:tc>
      </w:tr>
      <w:tr w14:paraId="65D7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0" w:type="pct"/>
            <w:shd w:val="clear" w:color="auto" w:fill="auto"/>
            <w:vAlign w:val="center"/>
          </w:tcPr>
          <w:p w14:paraId="36A8855C">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8</w:t>
            </w:r>
          </w:p>
        </w:tc>
        <w:tc>
          <w:tcPr>
            <w:tcW w:w="513" w:type="pct"/>
            <w:shd w:val="clear" w:color="auto" w:fill="auto"/>
            <w:vAlign w:val="center"/>
          </w:tcPr>
          <w:p w14:paraId="7A10EB5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continue"/>
            <w:vAlign w:val="center"/>
          </w:tcPr>
          <w:p w14:paraId="76216F66">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7BBB9390">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板载网络接口</w:t>
            </w:r>
          </w:p>
        </w:tc>
        <w:tc>
          <w:tcPr>
            <w:tcW w:w="2177" w:type="pct"/>
            <w:shd w:val="clear" w:color="auto" w:fill="auto"/>
            <w:vAlign w:val="center"/>
          </w:tcPr>
          <w:p w14:paraId="6618F0B9">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不涉及</w:t>
            </w:r>
          </w:p>
        </w:tc>
      </w:tr>
      <w:tr w14:paraId="17DE0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0" w:type="pct"/>
            <w:shd w:val="clear" w:color="auto" w:fill="auto"/>
            <w:vAlign w:val="center"/>
          </w:tcPr>
          <w:p w14:paraId="2505CB22">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9</w:t>
            </w:r>
          </w:p>
        </w:tc>
        <w:tc>
          <w:tcPr>
            <w:tcW w:w="513" w:type="pct"/>
            <w:shd w:val="clear" w:color="auto" w:fill="auto"/>
            <w:vAlign w:val="center"/>
          </w:tcPr>
          <w:p w14:paraId="6A4E91DE">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continue"/>
            <w:vAlign w:val="center"/>
          </w:tcPr>
          <w:p w14:paraId="633EEC87">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0004F30E">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主板OCP插槽数量</w:t>
            </w:r>
          </w:p>
        </w:tc>
        <w:tc>
          <w:tcPr>
            <w:tcW w:w="2177" w:type="pct"/>
            <w:shd w:val="clear" w:color="auto" w:fill="auto"/>
            <w:vAlign w:val="center"/>
          </w:tcPr>
          <w:p w14:paraId="58ED04CD">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提供≥1个OCP插槽</w:t>
            </w:r>
          </w:p>
        </w:tc>
      </w:tr>
      <w:tr w14:paraId="3548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0" w:type="pct"/>
            <w:shd w:val="clear" w:color="auto" w:fill="auto"/>
            <w:vAlign w:val="center"/>
          </w:tcPr>
          <w:p w14:paraId="3BAACA5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10</w:t>
            </w:r>
          </w:p>
        </w:tc>
        <w:tc>
          <w:tcPr>
            <w:tcW w:w="513" w:type="pct"/>
            <w:shd w:val="clear" w:color="auto" w:fill="auto"/>
            <w:vAlign w:val="center"/>
          </w:tcPr>
          <w:p w14:paraId="22212D8B">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restart"/>
            <w:shd w:val="clear" w:color="auto" w:fill="auto"/>
            <w:vAlign w:val="center"/>
          </w:tcPr>
          <w:p w14:paraId="6DDD015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内存规格</w:t>
            </w:r>
          </w:p>
        </w:tc>
        <w:tc>
          <w:tcPr>
            <w:tcW w:w="1341" w:type="pct"/>
            <w:shd w:val="clear" w:color="auto" w:fill="auto"/>
            <w:vAlign w:val="center"/>
          </w:tcPr>
          <w:p w14:paraId="52894A42">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★内存数量</w:t>
            </w:r>
          </w:p>
        </w:tc>
        <w:tc>
          <w:tcPr>
            <w:tcW w:w="2177" w:type="pct"/>
            <w:shd w:val="clear" w:color="auto" w:fill="auto"/>
            <w:vAlign w:val="center"/>
          </w:tcPr>
          <w:p w14:paraId="77F2B64A">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≥16</w:t>
            </w:r>
          </w:p>
        </w:tc>
      </w:tr>
      <w:tr w14:paraId="78D3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0" w:type="pct"/>
            <w:shd w:val="clear" w:color="auto" w:fill="auto"/>
            <w:vAlign w:val="center"/>
          </w:tcPr>
          <w:p w14:paraId="2FC46C52">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11</w:t>
            </w:r>
          </w:p>
        </w:tc>
        <w:tc>
          <w:tcPr>
            <w:tcW w:w="513" w:type="pct"/>
            <w:shd w:val="clear" w:color="auto" w:fill="auto"/>
            <w:vAlign w:val="center"/>
          </w:tcPr>
          <w:p w14:paraId="1D7C5F42">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continue"/>
            <w:vAlign w:val="center"/>
          </w:tcPr>
          <w:p w14:paraId="475F15CE">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25D46DD5">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★内存规格</w:t>
            </w:r>
          </w:p>
        </w:tc>
        <w:tc>
          <w:tcPr>
            <w:tcW w:w="2177" w:type="pct"/>
            <w:shd w:val="clear" w:color="auto" w:fill="auto"/>
            <w:vAlign w:val="center"/>
          </w:tcPr>
          <w:p w14:paraId="618650BB">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≥DDR4 64G</w:t>
            </w:r>
          </w:p>
        </w:tc>
      </w:tr>
      <w:tr w14:paraId="38C6F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01E25798">
            <w:pPr>
              <w:widowControl/>
              <w:spacing w:line="360" w:lineRule="auto"/>
              <w:jc w:val="center"/>
              <w:rPr>
                <w:rFonts w:hint="default" w:ascii="宋体" w:hAnsi="宋体" w:eastAsia="宋体" w:cs="宋体"/>
                <w:color w:val="000000"/>
                <w:kern w:val="0"/>
                <w:szCs w:val="24"/>
                <w:lang w:val="en-US" w:eastAsia="zh-CN"/>
                <w14:ligatures w14:val="none"/>
              </w:rPr>
            </w:pPr>
            <w:r>
              <w:rPr>
                <w:rFonts w:hint="eastAsia" w:ascii="宋体" w:hAnsi="宋体" w:cs="宋体"/>
                <w:color w:val="000000"/>
                <w:kern w:val="0"/>
                <w:szCs w:val="24"/>
                <w:lang w:val="en-US" w:eastAsia="zh-CN"/>
                <w14:ligatures w14:val="none"/>
              </w:rPr>
              <w:t>12</w:t>
            </w:r>
          </w:p>
        </w:tc>
        <w:tc>
          <w:tcPr>
            <w:tcW w:w="832" w:type="dxa"/>
            <w:shd w:val="clear" w:color="auto" w:fill="auto"/>
            <w:vAlign w:val="center"/>
          </w:tcPr>
          <w:p w14:paraId="730F95F7">
            <w:pPr>
              <w:widowControl/>
              <w:spacing w:line="360" w:lineRule="auto"/>
              <w:jc w:val="center"/>
              <w:rPr>
                <w:rFonts w:hint="eastAsia" w:ascii="宋体" w:hAnsi="宋体" w:cs="宋体"/>
                <w:color w:val="000000"/>
                <w:kern w:val="0"/>
                <w:szCs w:val="24"/>
                <w:highlight w:val="none"/>
                <w14:ligatures w14:val="none"/>
              </w:rPr>
            </w:pPr>
            <w:r>
              <w:rPr>
                <w:rFonts w:hint="eastAsia" w:ascii="宋体" w:hAnsi="宋体" w:cs="宋体"/>
                <w:color w:val="000000"/>
                <w:kern w:val="0"/>
                <w:szCs w:val="24"/>
                <w:highlight w:val="none"/>
                <w14:ligatures w14:val="none"/>
              </w:rPr>
              <w:t>产品规格</w:t>
            </w:r>
          </w:p>
        </w:tc>
        <w:tc>
          <w:tcPr>
            <w:tcW w:w="729" w:type="pct"/>
            <w:vMerge w:val="continue"/>
            <w:vAlign w:val="center"/>
          </w:tcPr>
          <w:p w14:paraId="6F532CD4">
            <w:pPr>
              <w:widowControl/>
              <w:spacing w:line="360" w:lineRule="auto"/>
              <w:jc w:val="left"/>
              <w:rPr>
                <w:rFonts w:ascii="宋体" w:hAnsi="宋体" w:cs="宋体"/>
                <w:color w:val="000000"/>
                <w:kern w:val="0"/>
                <w:szCs w:val="24"/>
                <w:highlight w:val="none"/>
                <w14:ligatures w14:val="none"/>
              </w:rPr>
            </w:pPr>
          </w:p>
        </w:tc>
        <w:tc>
          <w:tcPr>
            <w:tcW w:w="1341" w:type="pct"/>
            <w:shd w:val="clear" w:color="auto" w:fill="auto"/>
            <w:vAlign w:val="center"/>
          </w:tcPr>
          <w:p w14:paraId="675DACE0">
            <w:pPr>
              <w:widowControl/>
              <w:spacing w:line="360" w:lineRule="auto"/>
              <w:jc w:val="center"/>
              <w:rPr>
                <w:rFonts w:hint="eastAsia" w:ascii="宋体" w:hAnsi="宋体" w:cs="宋体"/>
                <w:color w:val="000000"/>
                <w:kern w:val="0"/>
                <w:szCs w:val="24"/>
                <w:highlight w:val="none"/>
                <w14:ligatures w14:val="none"/>
              </w:rPr>
            </w:pPr>
            <w:r>
              <w:rPr>
                <w:rFonts w:hint="eastAsia" w:eastAsia="宋体"/>
                <w:b/>
                <w:bCs/>
                <w:highlight w:val="none"/>
                <w:lang w:eastAsia="zh-CN"/>
              </w:rPr>
              <w:t>内存容量</w:t>
            </w:r>
          </w:p>
        </w:tc>
        <w:tc>
          <w:tcPr>
            <w:tcW w:w="2177" w:type="pct"/>
            <w:shd w:val="clear" w:color="auto" w:fill="auto"/>
            <w:vAlign w:val="center"/>
          </w:tcPr>
          <w:p w14:paraId="6BA77E8A">
            <w:pPr>
              <w:pStyle w:val="18"/>
              <w:rPr>
                <w:rFonts w:hint="eastAsia" w:ascii="宋体" w:hAnsi="宋体" w:cs="宋体"/>
                <w:color w:val="000000"/>
                <w:kern w:val="0"/>
                <w:szCs w:val="24"/>
                <w:highlight w:val="none"/>
                <w14:ligatures w14:val="none"/>
              </w:rPr>
            </w:pPr>
            <w:r>
              <w:rPr>
                <w:rFonts w:hint="eastAsia" w:eastAsia="宋体"/>
                <w:b/>
                <w:bCs/>
                <w:highlight w:val="none"/>
                <w:lang w:eastAsia="zh-CN"/>
              </w:rPr>
              <w:t>≥1TB;</w:t>
            </w:r>
          </w:p>
        </w:tc>
      </w:tr>
      <w:tr w14:paraId="27F0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40" w:type="pct"/>
            <w:shd w:val="clear" w:color="auto" w:fill="auto"/>
            <w:vAlign w:val="center"/>
          </w:tcPr>
          <w:p w14:paraId="76296A85">
            <w:pPr>
              <w:widowControl/>
              <w:spacing w:line="360" w:lineRule="auto"/>
              <w:jc w:val="center"/>
              <w:rPr>
                <w:rFonts w:hint="eastAsia" w:ascii="宋体" w:hAnsi="宋体" w:eastAsia="宋体" w:cs="宋体"/>
                <w:color w:val="000000"/>
                <w:kern w:val="0"/>
                <w:szCs w:val="24"/>
                <w:lang w:eastAsia="zh-CN"/>
                <w14:ligatures w14:val="none"/>
              </w:rPr>
            </w:pPr>
            <w:r>
              <w:rPr>
                <w:rFonts w:hint="eastAsia" w:ascii="宋体" w:hAnsi="宋体" w:cs="宋体"/>
                <w:color w:val="000000"/>
                <w:kern w:val="0"/>
                <w:szCs w:val="24"/>
                <w14:ligatures w14:val="none"/>
              </w:rPr>
              <w:t>1</w:t>
            </w:r>
            <w:r>
              <w:rPr>
                <w:rFonts w:hint="eastAsia" w:ascii="宋体" w:hAnsi="宋体" w:cs="宋体"/>
                <w:color w:val="000000"/>
                <w:kern w:val="0"/>
                <w:szCs w:val="24"/>
                <w:lang w:val="en-US" w:eastAsia="zh-CN"/>
                <w14:ligatures w14:val="none"/>
              </w:rPr>
              <w:t>3</w:t>
            </w:r>
          </w:p>
        </w:tc>
        <w:tc>
          <w:tcPr>
            <w:tcW w:w="513" w:type="pct"/>
            <w:shd w:val="clear" w:color="auto" w:fill="auto"/>
            <w:vAlign w:val="center"/>
          </w:tcPr>
          <w:p w14:paraId="2DE86E46">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continue"/>
            <w:vAlign w:val="center"/>
          </w:tcPr>
          <w:p w14:paraId="48DB33F1">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1C648D7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★内存通道</w:t>
            </w:r>
          </w:p>
        </w:tc>
        <w:tc>
          <w:tcPr>
            <w:tcW w:w="2177" w:type="pct"/>
            <w:shd w:val="clear" w:color="auto" w:fill="auto"/>
            <w:vAlign w:val="center"/>
          </w:tcPr>
          <w:p w14:paraId="58935A01">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支持多个内存接口通道，每个通道可支持1DPC或2DPC，当支持2DPC时，印制电路板上应具备插槽的序号标识，具体通道数应在随机文件中明确</w:t>
            </w:r>
          </w:p>
        </w:tc>
      </w:tr>
      <w:tr w14:paraId="4197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0" w:type="pct"/>
            <w:shd w:val="clear" w:color="auto" w:fill="auto"/>
            <w:vAlign w:val="center"/>
          </w:tcPr>
          <w:p w14:paraId="5A38CC4F">
            <w:pPr>
              <w:widowControl/>
              <w:spacing w:line="360" w:lineRule="auto"/>
              <w:jc w:val="center"/>
              <w:rPr>
                <w:rFonts w:hint="eastAsia" w:ascii="宋体" w:hAnsi="宋体" w:eastAsia="宋体" w:cs="宋体"/>
                <w:color w:val="000000"/>
                <w:kern w:val="0"/>
                <w:szCs w:val="24"/>
                <w:lang w:eastAsia="zh-CN"/>
                <w14:ligatures w14:val="none"/>
              </w:rPr>
            </w:pPr>
            <w:r>
              <w:rPr>
                <w:rFonts w:hint="eastAsia" w:ascii="宋体" w:hAnsi="宋体" w:cs="宋体"/>
                <w:color w:val="000000"/>
                <w:kern w:val="0"/>
                <w:szCs w:val="24"/>
                <w14:ligatures w14:val="none"/>
              </w:rPr>
              <w:t>1</w:t>
            </w:r>
            <w:r>
              <w:rPr>
                <w:rFonts w:hint="eastAsia" w:ascii="宋体" w:hAnsi="宋体" w:cs="宋体"/>
                <w:color w:val="000000"/>
                <w:kern w:val="0"/>
                <w:szCs w:val="24"/>
                <w:lang w:val="en-US" w:eastAsia="zh-CN"/>
                <w14:ligatures w14:val="none"/>
              </w:rPr>
              <w:t>4</w:t>
            </w:r>
          </w:p>
        </w:tc>
        <w:tc>
          <w:tcPr>
            <w:tcW w:w="513" w:type="pct"/>
            <w:shd w:val="clear" w:color="auto" w:fill="auto"/>
            <w:vAlign w:val="center"/>
          </w:tcPr>
          <w:p w14:paraId="5002D382">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restart"/>
            <w:shd w:val="clear" w:color="auto" w:fill="auto"/>
            <w:vAlign w:val="center"/>
          </w:tcPr>
          <w:p w14:paraId="1778EFC8">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存储规格</w:t>
            </w:r>
          </w:p>
        </w:tc>
        <w:tc>
          <w:tcPr>
            <w:tcW w:w="1341" w:type="pct"/>
            <w:shd w:val="clear" w:color="auto" w:fill="auto"/>
            <w:vAlign w:val="center"/>
          </w:tcPr>
          <w:p w14:paraId="15937F0F">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硬盘类型</w:t>
            </w:r>
          </w:p>
        </w:tc>
        <w:tc>
          <w:tcPr>
            <w:tcW w:w="2177" w:type="pct"/>
            <w:shd w:val="clear" w:color="auto" w:fill="auto"/>
            <w:vAlign w:val="center"/>
          </w:tcPr>
          <w:p w14:paraId="567E2D2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 SAS/SATA/NVMe SSD/M.2 SSD 硬盘</w:t>
            </w:r>
          </w:p>
        </w:tc>
      </w:tr>
      <w:tr w14:paraId="2B87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0" w:type="pct"/>
            <w:shd w:val="clear" w:color="auto" w:fill="auto"/>
            <w:vAlign w:val="center"/>
          </w:tcPr>
          <w:p w14:paraId="5B1AF70F">
            <w:pPr>
              <w:widowControl/>
              <w:spacing w:line="360" w:lineRule="auto"/>
              <w:jc w:val="center"/>
              <w:rPr>
                <w:rFonts w:hint="eastAsia" w:ascii="宋体" w:hAnsi="宋体" w:eastAsia="宋体" w:cs="宋体"/>
                <w:color w:val="000000"/>
                <w:kern w:val="0"/>
                <w:szCs w:val="24"/>
                <w:lang w:eastAsia="zh-CN"/>
                <w14:ligatures w14:val="none"/>
              </w:rPr>
            </w:pPr>
            <w:r>
              <w:rPr>
                <w:rFonts w:hint="eastAsia" w:ascii="宋体" w:hAnsi="宋体" w:cs="宋体"/>
                <w:color w:val="000000"/>
                <w:kern w:val="0"/>
                <w:szCs w:val="24"/>
                <w14:ligatures w14:val="none"/>
              </w:rPr>
              <w:t>1</w:t>
            </w:r>
            <w:r>
              <w:rPr>
                <w:rFonts w:hint="eastAsia" w:ascii="宋体" w:hAnsi="宋体" w:cs="宋体"/>
                <w:color w:val="000000"/>
                <w:kern w:val="0"/>
                <w:szCs w:val="24"/>
                <w:lang w:val="en-US" w:eastAsia="zh-CN"/>
                <w14:ligatures w14:val="none"/>
              </w:rPr>
              <w:t>5</w:t>
            </w:r>
          </w:p>
        </w:tc>
        <w:tc>
          <w:tcPr>
            <w:tcW w:w="513" w:type="pct"/>
            <w:shd w:val="clear" w:color="auto" w:fill="auto"/>
            <w:vAlign w:val="center"/>
          </w:tcPr>
          <w:p w14:paraId="3484F016">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continue"/>
            <w:vAlign w:val="center"/>
          </w:tcPr>
          <w:p w14:paraId="6AFB5C93">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481B5269">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★硬磁盘实配容量</w:t>
            </w:r>
          </w:p>
        </w:tc>
        <w:tc>
          <w:tcPr>
            <w:tcW w:w="2177" w:type="pct"/>
            <w:shd w:val="clear" w:color="auto" w:fill="auto"/>
            <w:vAlign w:val="center"/>
          </w:tcPr>
          <w:p w14:paraId="5B356C45">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SSD硬盘≥1.92TB</w:t>
            </w:r>
          </w:p>
        </w:tc>
      </w:tr>
      <w:tr w14:paraId="3E00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0" w:type="pct"/>
            <w:shd w:val="clear" w:color="auto" w:fill="auto"/>
            <w:vAlign w:val="center"/>
          </w:tcPr>
          <w:p w14:paraId="08B9CBCE">
            <w:pPr>
              <w:widowControl/>
              <w:spacing w:line="360" w:lineRule="auto"/>
              <w:jc w:val="center"/>
              <w:rPr>
                <w:rFonts w:hint="eastAsia" w:ascii="宋体" w:hAnsi="宋体" w:eastAsia="宋体" w:cs="宋体"/>
                <w:color w:val="000000"/>
                <w:kern w:val="0"/>
                <w:szCs w:val="24"/>
                <w:lang w:eastAsia="zh-CN"/>
                <w14:ligatures w14:val="none"/>
              </w:rPr>
            </w:pPr>
            <w:r>
              <w:rPr>
                <w:rFonts w:hint="eastAsia" w:ascii="宋体" w:hAnsi="宋体" w:cs="宋体"/>
                <w:color w:val="000000"/>
                <w:kern w:val="0"/>
                <w:szCs w:val="24"/>
                <w14:ligatures w14:val="none"/>
              </w:rPr>
              <w:t>1</w:t>
            </w:r>
            <w:r>
              <w:rPr>
                <w:rFonts w:hint="eastAsia" w:ascii="宋体" w:hAnsi="宋体" w:cs="宋体"/>
                <w:color w:val="000000"/>
                <w:kern w:val="0"/>
                <w:szCs w:val="24"/>
                <w:lang w:val="en-US" w:eastAsia="zh-CN"/>
                <w14:ligatures w14:val="none"/>
              </w:rPr>
              <w:t>6</w:t>
            </w:r>
          </w:p>
        </w:tc>
        <w:tc>
          <w:tcPr>
            <w:tcW w:w="513" w:type="pct"/>
            <w:shd w:val="clear" w:color="auto" w:fill="auto"/>
            <w:vAlign w:val="center"/>
          </w:tcPr>
          <w:p w14:paraId="5ACC5CC6">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continue"/>
            <w:vAlign w:val="center"/>
          </w:tcPr>
          <w:p w14:paraId="6D1007F2">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1B0DBDF6">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硬盘接口类型</w:t>
            </w:r>
          </w:p>
        </w:tc>
        <w:tc>
          <w:tcPr>
            <w:tcW w:w="2177" w:type="pct"/>
            <w:shd w:val="clear" w:color="auto" w:fill="auto"/>
            <w:vAlign w:val="center"/>
          </w:tcPr>
          <w:p w14:paraId="793D4155">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SATA或 SAS或NVMe</w:t>
            </w:r>
          </w:p>
        </w:tc>
      </w:tr>
      <w:tr w14:paraId="17BB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0" w:type="pct"/>
            <w:shd w:val="clear" w:color="auto" w:fill="auto"/>
            <w:vAlign w:val="center"/>
          </w:tcPr>
          <w:p w14:paraId="2E44CCAF">
            <w:pPr>
              <w:widowControl/>
              <w:spacing w:line="360" w:lineRule="auto"/>
              <w:jc w:val="center"/>
              <w:rPr>
                <w:rFonts w:hint="eastAsia" w:ascii="宋体" w:hAnsi="宋体" w:eastAsia="宋体" w:cs="宋体"/>
                <w:color w:val="000000"/>
                <w:kern w:val="0"/>
                <w:szCs w:val="24"/>
                <w:lang w:eastAsia="zh-CN"/>
                <w14:ligatures w14:val="none"/>
              </w:rPr>
            </w:pPr>
            <w:r>
              <w:rPr>
                <w:rFonts w:hint="eastAsia" w:ascii="宋体" w:hAnsi="宋体" w:cs="宋体"/>
                <w:color w:val="000000"/>
                <w:kern w:val="0"/>
                <w:szCs w:val="24"/>
                <w14:ligatures w14:val="none"/>
              </w:rPr>
              <w:t>1</w:t>
            </w:r>
            <w:r>
              <w:rPr>
                <w:rFonts w:hint="eastAsia" w:ascii="宋体" w:hAnsi="宋体" w:cs="宋体"/>
                <w:color w:val="000000"/>
                <w:kern w:val="0"/>
                <w:szCs w:val="24"/>
                <w:lang w:val="en-US" w:eastAsia="zh-CN"/>
                <w14:ligatures w14:val="none"/>
              </w:rPr>
              <w:t>7</w:t>
            </w:r>
          </w:p>
        </w:tc>
        <w:tc>
          <w:tcPr>
            <w:tcW w:w="513" w:type="pct"/>
            <w:shd w:val="clear" w:color="auto" w:fill="auto"/>
            <w:vAlign w:val="center"/>
          </w:tcPr>
          <w:p w14:paraId="206D30D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continue"/>
            <w:vAlign w:val="center"/>
          </w:tcPr>
          <w:p w14:paraId="17F764BA">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08DFE50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★硬盘实配数量</w:t>
            </w:r>
          </w:p>
        </w:tc>
        <w:tc>
          <w:tcPr>
            <w:tcW w:w="2177" w:type="pct"/>
            <w:shd w:val="clear" w:color="auto" w:fill="auto"/>
            <w:vAlign w:val="center"/>
          </w:tcPr>
          <w:p w14:paraId="1061EC8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SSD硬盘数量≥8块</w:t>
            </w:r>
          </w:p>
        </w:tc>
      </w:tr>
      <w:tr w14:paraId="2332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0" w:type="pct"/>
            <w:shd w:val="clear" w:color="auto" w:fill="auto"/>
            <w:vAlign w:val="center"/>
          </w:tcPr>
          <w:p w14:paraId="14E5A95D">
            <w:pPr>
              <w:widowControl/>
              <w:spacing w:line="360" w:lineRule="auto"/>
              <w:jc w:val="center"/>
              <w:rPr>
                <w:rFonts w:hint="eastAsia" w:ascii="宋体" w:hAnsi="宋体" w:eastAsia="宋体" w:cs="宋体"/>
                <w:color w:val="000000"/>
                <w:kern w:val="0"/>
                <w:szCs w:val="24"/>
                <w:lang w:eastAsia="zh-CN"/>
                <w14:ligatures w14:val="none"/>
              </w:rPr>
            </w:pPr>
            <w:r>
              <w:rPr>
                <w:rFonts w:hint="eastAsia" w:ascii="宋体" w:hAnsi="宋体" w:cs="宋体"/>
                <w:color w:val="000000"/>
                <w:kern w:val="0"/>
                <w:szCs w:val="24"/>
                <w14:ligatures w14:val="none"/>
              </w:rPr>
              <w:t>1</w:t>
            </w:r>
            <w:r>
              <w:rPr>
                <w:rFonts w:hint="eastAsia" w:ascii="宋体" w:hAnsi="宋体" w:cs="宋体"/>
                <w:color w:val="000000"/>
                <w:kern w:val="0"/>
                <w:szCs w:val="24"/>
                <w:lang w:val="en-US" w:eastAsia="zh-CN"/>
                <w14:ligatures w14:val="none"/>
              </w:rPr>
              <w:t>8</w:t>
            </w:r>
          </w:p>
        </w:tc>
        <w:tc>
          <w:tcPr>
            <w:tcW w:w="513" w:type="pct"/>
            <w:shd w:val="clear" w:color="auto" w:fill="auto"/>
            <w:vAlign w:val="center"/>
          </w:tcPr>
          <w:p w14:paraId="499F0C88">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continue"/>
            <w:vAlign w:val="center"/>
          </w:tcPr>
          <w:p w14:paraId="75B09CA3">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13761440">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★硬盘插槽数量及规格</w:t>
            </w:r>
          </w:p>
        </w:tc>
        <w:tc>
          <w:tcPr>
            <w:tcW w:w="2177" w:type="pct"/>
            <w:shd w:val="clear" w:color="auto" w:fill="auto"/>
            <w:vAlign w:val="center"/>
          </w:tcPr>
          <w:p w14:paraId="33F3989E">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最大可支持≥12个2.5/3.5英寸SAS/SATA/SSD 硬盘</w:t>
            </w:r>
          </w:p>
        </w:tc>
      </w:tr>
      <w:tr w14:paraId="210B7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40" w:type="pct"/>
            <w:shd w:val="clear" w:color="auto" w:fill="auto"/>
            <w:vAlign w:val="center"/>
          </w:tcPr>
          <w:p w14:paraId="6B83887A">
            <w:pPr>
              <w:widowControl/>
              <w:spacing w:line="360" w:lineRule="auto"/>
              <w:jc w:val="center"/>
              <w:rPr>
                <w:rFonts w:hint="eastAsia" w:ascii="宋体" w:hAnsi="宋体" w:eastAsia="宋体" w:cs="宋体"/>
                <w:color w:val="000000"/>
                <w:kern w:val="0"/>
                <w:szCs w:val="24"/>
                <w:lang w:eastAsia="zh-CN"/>
                <w14:ligatures w14:val="none"/>
              </w:rPr>
            </w:pPr>
            <w:r>
              <w:rPr>
                <w:rFonts w:hint="eastAsia" w:ascii="宋体" w:hAnsi="宋体" w:cs="宋体"/>
                <w:color w:val="000000"/>
                <w:kern w:val="0"/>
                <w:szCs w:val="24"/>
                <w14:ligatures w14:val="none"/>
              </w:rPr>
              <w:t>1</w:t>
            </w:r>
            <w:r>
              <w:rPr>
                <w:rFonts w:hint="eastAsia" w:ascii="宋体" w:hAnsi="宋体" w:cs="宋体"/>
                <w:color w:val="000000"/>
                <w:kern w:val="0"/>
                <w:szCs w:val="24"/>
                <w:lang w:val="en-US" w:eastAsia="zh-CN"/>
                <w14:ligatures w14:val="none"/>
              </w:rPr>
              <w:t>9</w:t>
            </w:r>
          </w:p>
        </w:tc>
        <w:tc>
          <w:tcPr>
            <w:tcW w:w="513" w:type="pct"/>
            <w:shd w:val="clear" w:color="auto" w:fill="auto"/>
            <w:vAlign w:val="center"/>
          </w:tcPr>
          <w:p w14:paraId="3017B000">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continue"/>
            <w:vAlign w:val="center"/>
          </w:tcPr>
          <w:p w14:paraId="17C7B742">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63CE2ED9">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硬盘其他参数要求</w:t>
            </w:r>
          </w:p>
        </w:tc>
        <w:tc>
          <w:tcPr>
            <w:tcW w:w="2177" w:type="pct"/>
            <w:shd w:val="clear" w:color="auto" w:fill="auto"/>
            <w:vAlign w:val="center"/>
          </w:tcPr>
          <w:p w14:paraId="77E82CCB">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a)机械硬盘准备时间应不大于30s；侧面固定螺丝孔数量可为4孔或6孔；工作状态环境温度应满足5℃55℃,其它参数应符合GB/T12628的相关规定；b)若服务器支持固态盘，固态盘符合SJ/T11654相关规定</w:t>
            </w:r>
          </w:p>
        </w:tc>
      </w:tr>
      <w:tr w14:paraId="1A12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40" w:type="pct"/>
            <w:shd w:val="clear" w:color="auto" w:fill="auto"/>
            <w:vAlign w:val="center"/>
          </w:tcPr>
          <w:p w14:paraId="4F34F4B7">
            <w:pPr>
              <w:widowControl/>
              <w:spacing w:line="360" w:lineRule="auto"/>
              <w:jc w:val="center"/>
              <w:rPr>
                <w:rFonts w:hint="default" w:ascii="宋体" w:hAnsi="宋体" w:eastAsia="宋体" w:cs="宋体"/>
                <w:color w:val="000000"/>
                <w:kern w:val="0"/>
                <w:szCs w:val="24"/>
                <w:lang w:val="en-US" w:eastAsia="zh-CN"/>
                <w14:ligatures w14:val="none"/>
              </w:rPr>
            </w:pPr>
            <w:r>
              <w:rPr>
                <w:rFonts w:hint="eastAsia" w:ascii="宋体" w:hAnsi="宋体" w:cs="宋体"/>
                <w:color w:val="000000"/>
                <w:kern w:val="0"/>
                <w:szCs w:val="24"/>
                <w:lang w:val="en-US" w:eastAsia="zh-CN"/>
                <w14:ligatures w14:val="none"/>
              </w:rPr>
              <w:t>20</w:t>
            </w:r>
          </w:p>
        </w:tc>
        <w:tc>
          <w:tcPr>
            <w:tcW w:w="513" w:type="pct"/>
            <w:shd w:val="clear" w:color="auto" w:fill="auto"/>
            <w:vAlign w:val="center"/>
          </w:tcPr>
          <w:p w14:paraId="3D9CE440">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shd w:val="clear" w:color="auto" w:fill="auto"/>
            <w:vAlign w:val="center"/>
          </w:tcPr>
          <w:p w14:paraId="46ED47F0">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RAID 卡</w:t>
            </w:r>
            <w:r>
              <w:rPr>
                <w:rFonts w:hint="eastAsia" w:ascii="宋体" w:hAnsi="宋体" w:cs="宋体"/>
                <w:color w:val="000000"/>
                <w:kern w:val="0"/>
                <w:szCs w:val="24"/>
                <w14:ligatures w14:val="none"/>
              </w:rPr>
              <w:br w:type="textWrapping"/>
            </w:r>
            <w:r>
              <w:rPr>
                <w:rFonts w:hint="eastAsia" w:ascii="宋体" w:hAnsi="宋体" w:cs="宋体"/>
                <w:color w:val="000000"/>
                <w:kern w:val="0"/>
                <w:szCs w:val="24"/>
                <w14:ligatures w14:val="none"/>
              </w:rPr>
              <w:t>规格(若支</w:t>
            </w:r>
            <w:r>
              <w:rPr>
                <w:rFonts w:hint="eastAsia" w:ascii="宋体" w:hAnsi="宋体" w:cs="宋体"/>
                <w:color w:val="000000"/>
                <w:kern w:val="0"/>
                <w:szCs w:val="24"/>
                <w14:ligatures w14:val="none"/>
              </w:rPr>
              <w:br w:type="textWrapping"/>
            </w:r>
            <w:r>
              <w:rPr>
                <w:rFonts w:hint="eastAsia" w:ascii="宋体" w:hAnsi="宋体" w:cs="宋体"/>
                <w:color w:val="000000"/>
                <w:kern w:val="0"/>
                <w:szCs w:val="24"/>
                <w14:ligatures w14:val="none"/>
              </w:rPr>
              <w:t>持 RAID卡)</w:t>
            </w:r>
          </w:p>
        </w:tc>
        <w:tc>
          <w:tcPr>
            <w:tcW w:w="1341" w:type="pct"/>
            <w:shd w:val="clear" w:color="auto" w:fill="auto"/>
            <w:vAlign w:val="center"/>
          </w:tcPr>
          <w:p w14:paraId="17ED901E">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RAID卡支持的SSD、SATA 接口数</w:t>
            </w:r>
          </w:p>
        </w:tc>
        <w:tc>
          <w:tcPr>
            <w:tcW w:w="2177" w:type="pct"/>
            <w:shd w:val="clear" w:color="auto" w:fill="auto"/>
            <w:vAlign w:val="center"/>
          </w:tcPr>
          <w:p w14:paraId="0FBE7EC8">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≥8</w:t>
            </w:r>
          </w:p>
        </w:tc>
      </w:tr>
      <w:tr w14:paraId="6BDC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40" w:type="pct"/>
            <w:shd w:val="clear" w:color="auto" w:fill="auto"/>
            <w:vAlign w:val="center"/>
          </w:tcPr>
          <w:p w14:paraId="5115EF7F">
            <w:pPr>
              <w:widowControl/>
              <w:spacing w:line="360" w:lineRule="auto"/>
              <w:jc w:val="center"/>
              <w:rPr>
                <w:rFonts w:hint="eastAsia" w:ascii="宋体" w:hAnsi="宋体" w:eastAsia="宋体" w:cs="宋体"/>
                <w:color w:val="000000"/>
                <w:kern w:val="0"/>
                <w:szCs w:val="24"/>
                <w:lang w:eastAsia="zh-CN"/>
                <w14:ligatures w14:val="none"/>
              </w:rPr>
            </w:pPr>
            <w:r>
              <w:rPr>
                <w:rFonts w:hint="eastAsia" w:ascii="宋体" w:hAnsi="宋体" w:cs="宋体"/>
                <w:color w:val="000000"/>
                <w:kern w:val="0"/>
                <w:szCs w:val="24"/>
                <w14:ligatures w14:val="none"/>
              </w:rPr>
              <w:t>2</w:t>
            </w:r>
            <w:r>
              <w:rPr>
                <w:rFonts w:hint="eastAsia" w:ascii="宋体" w:hAnsi="宋体" w:cs="宋体"/>
                <w:color w:val="000000"/>
                <w:kern w:val="0"/>
                <w:szCs w:val="24"/>
                <w:lang w:val="en-US" w:eastAsia="zh-CN"/>
                <w14:ligatures w14:val="none"/>
              </w:rPr>
              <w:t>1</w:t>
            </w:r>
          </w:p>
        </w:tc>
        <w:tc>
          <w:tcPr>
            <w:tcW w:w="513" w:type="pct"/>
            <w:shd w:val="clear" w:color="auto" w:fill="auto"/>
            <w:vAlign w:val="center"/>
          </w:tcPr>
          <w:p w14:paraId="5191BDBE">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shd w:val="clear" w:color="auto" w:fill="auto"/>
            <w:vAlign w:val="center"/>
          </w:tcPr>
          <w:p w14:paraId="5F28FD5C">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SAS直通卡规格(若支持 SAS直通卡)</w:t>
            </w:r>
          </w:p>
        </w:tc>
        <w:tc>
          <w:tcPr>
            <w:tcW w:w="1341" w:type="pct"/>
            <w:shd w:val="clear" w:color="auto" w:fill="auto"/>
            <w:vAlign w:val="center"/>
          </w:tcPr>
          <w:p w14:paraId="428C9C5F">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SAS直通卡SAS接口数量</w:t>
            </w:r>
          </w:p>
        </w:tc>
        <w:tc>
          <w:tcPr>
            <w:tcW w:w="2177" w:type="pct"/>
            <w:shd w:val="clear" w:color="auto" w:fill="auto"/>
            <w:vAlign w:val="center"/>
          </w:tcPr>
          <w:p w14:paraId="2757BC35">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≥8</w:t>
            </w:r>
          </w:p>
        </w:tc>
      </w:tr>
      <w:tr w14:paraId="3F04A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40" w:type="pct"/>
            <w:shd w:val="clear" w:color="auto" w:fill="auto"/>
            <w:vAlign w:val="center"/>
          </w:tcPr>
          <w:p w14:paraId="74D0AC80">
            <w:pPr>
              <w:widowControl/>
              <w:spacing w:line="360" w:lineRule="auto"/>
              <w:jc w:val="center"/>
              <w:rPr>
                <w:rFonts w:hint="eastAsia" w:ascii="宋体" w:hAnsi="宋体" w:eastAsia="宋体" w:cs="宋体"/>
                <w:kern w:val="0"/>
                <w:szCs w:val="24"/>
                <w:lang w:eastAsia="zh-CN"/>
                <w14:ligatures w14:val="none"/>
              </w:rPr>
            </w:pPr>
            <w:r>
              <w:rPr>
                <w:rFonts w:hint="eastAsia" w:ascii="宋体" w:hAnsi="宋体" w:cs="宋体"/>
                <w:kern w:val="0"/>
                <w:szCs w:val="24"/>
                <w14:ligatures w14:val="none"/>
              </w:rPr>
              <w:t>2</w:t>
            </w:r>
            <w:r>
              <w:rPr>
                <w:rFonts w:hint="eastAsia" w:ascii="宋体" w:hAnsi="宋体" w:cs="宋体"/>
                <w:kern w:val="0"/>
                <w:szCs w:val="24"/>
                <w:lang w:val="en-US" w:eastAsia="zh-CN"/>
                <w14:ligatures w14:val="none"/>
              </w:rPr>
              <w:t>2</w:t>
            </w:r>
          </w:p>
        </w:tc>
        <w:tc>
          <w:tcPr>
            <w:tcW w:w="513" w:type="pct"/>
            <w:shd w:val="clear" w:color="auto" w:fill="auto"/>
            <w:vAlign w:val="center"/>
          </w:tcPr>
          <w:p w14:paraId="0476A6CF">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产品规格</w:t>
            </w:r>
          </w:p>
        </w:tc>
        <w:tc>
          <w:tcPr>
            <w:tcW w:w="729" w:type="pct"/>
            <w:shd w:val="clear" w:color="auto" w:fill="auto"/>
            <w:vAlign w:val="center"/>
          </w:tcPr>
          <w:p w14:paraId="56EA13DC">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HBA卡规格(若支持HBA直通卡)</w:t>
            </w:r>
          </w:p>
        </w:tc>
        <w:tc>
          <w:tcPr>
            <w:tcW w:w="1341" w:type="pct"/>
            <w:shd w:val="clear" w:color="auto" w:fill="auto"/>
            <w:vAlign w:val="center"/>
          </w:tcPr>
          <w:p w14:paraId="6D08D5C1">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HBA 卡端口数量</w:t>
            </w:r>
          </w:p>
        </w:tc>
        <w:tc>
          <w:tcPr>
            <w:tcW w:w="2177" w:type="pct"/>
            <w:shd w:val="clear" w:color="auto" w:fill="auto"/>
            <w:vAlign w:val="center"/>
          </w:tcPr>
          <w:p w14:paraId="06FD5077">
            <w:pPr>
              <w:widowControl/>
              <w:spacing w:line="360" w:lineRule="auto"/>
              <w:jc w:val="center"/>
              <w:rPr>
                <w:rFonts w:ascii="宋体" w:hAnsi="宋体" w:cs="宋体"/>
                <w:kern w:val="0"/>
                <w:szCs w:val="24"/>
                <w14:ligatures w14:val="none"/>
              </w:rPr>
            </w:pPr>
            <w:r>
              <w:rPr>
                <w:rFonts w:hint="eastAsia" w:ascii="宋体" w:hAnsi="宋体" w:cs="宋体"/>
                <w:kern w:val="0"/>
                <w:szCs w:val="24"/>
                <w14:ligatures w14:val="none"/>
              </w:rPr>
              <w:t>不涉及</w:t>
            </w:r>
          </w:p>
        </w:tc>
      </w:tr>
      <w:tr w14:paraId="04BA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0" w:type="pct"/>
            <w:shd w:val="clear" w:color="auto" w:fill="auto"/>
            <w:vAlign w:val="center"/>
          </w:tcPr>
          <w:p w14:paraId="30CA4DC0">
            <w:pPr>
              <w:widowControl/>
              <w:spacing w:line="360" w:lineRule="auto"/>
              <w:jc w:val="center"/>
              <w:rPr>
                <w:rFonts w:hint="eastAsia" w:ascii="宋体" w:hAnsi="宋体" w:eastAsia="宋体" w:cs="宋体"/>
                <w:color w:val="000000"/>
                <w:kern w:val="0"/>
                <w:szCs w:val="24"/>
                <w:lang w:eastAsia="zh-CN"/>
                <w14:ligatures w14:val="none"/>
              </w:rPr>
            </w:pPr>
            <w:r>
              <w:rPr>
                <w:rFonts w:hint="eastAsia" w:ascii="宋体" w:hAnsi="宋体" w:cs="宋体"/>
                <w:color w:val="000000"/>
                <w:kern w:val="0"/>
                <w:szCs w:val="24"/>
                <w14:ligatures w14:val="none"/>
              </w:rPr>
              <w:t>2</w:t>
            </w:r>
            <w:r>
              <w:rPr>
                <w:rFonts w:hint="eastAsia" w:ascii="宋体" w:hAnsi="宋体" w:cs="宋体"/>
                <w:color w:val="000000"/>
                <w:kern w:val="0"/>
                <w:szCs w:val="24"/>
                <w:lang w:val="en-US" w:eastAsia="zh-CN"/>
                <w14:ligatures w14:val="none"/>
              </w:rPr>
              <w:t>3</w:t>
            </w:r>
          </w:p>
        </w:tc>
        <w:tc>
          <w:tcPr>
            <w:tcW w:w="513" w:type="pct"/>
            <w:shd w:val="clear" w:color="auto" w:fill="auto"/>
            <w:vAlign w:val="center"/>
          </w:tcPr>
          <w:p w14:paraId="5C159896">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restart"/>
            <w:shd w:val="clear" w:color="auto" w:fill="auto"/>
            <w:vAlign w:val="center"/>
          </w:tcPr>
          <w:p w14:paraId="438BAA8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网络规格</w:t>
            </w:r>
          </w:p>
        </w:tc>
        <w:tc>
          <w:tcPr>
            <w:tcW w:w="1341" w:type="pct"/>
            <w:shd w:val="clear" w:color="auto" w:fill="auto"/>
            <w:vAlign w:val="center"/>
          </w:tcPr>
          <w:p w14:paraId="6019D66E">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★网口速率和数量</w:t>
            </w:r>
          </w:p>
        </w:tc>
        <w:tc>
          <w:tcPr>
            <w:tcW w:w="2177" w:type="pct"/>
            <w:shd w:val="clear" w:color="auto" w:fill="auto"/>
            <w:vAlign w:val="center"/>
          </w:tcPr>
          <w:p w14:paraId="5A442E8C">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★网络：≥2个10GE网口；≥2个1GE RJ45接口</w:t>
            </w:r>
          </w:p>
        </w:tc>
      </w:tr>
      <w:tr w14:paraId="2BFE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0" w:type="pct"/>
            <w:shd w:val="clear" w:color="auto" w:fill="auto"/>
            <w:vAlign w:val="center"/>
          </w:tcPr>
          <w:p w14:paraId="070B1CCD">
            <w:pPr>
              <w:widowControl/>
              <w:spacing w:line="360" w:lineRule="auto"/>
              <w:jc w:val="center"/>
              <w:rPr>
                <w:rFonts w:hint="eastAsia" w:ascii="宋体" w:hAnsi="宋体" w:eastAsia="宋体" w:cs="宋体"/>
                <w:color w:val="000000"/>
                <w:kern w:val="0"/>
                <w:szCs w:val="24"/>
                <w:lang w:eastAsia="zh-CN"/>
                <w14:ligatures w14:val="none"/>
              </w:rPr>
            </w:pPr>
            <w:r>
              <w:rPr>
                <w:rFonts w:hint="eastAsia" w:ascii="宋体" w:hAnsi="宋体" w:cs="宋体"/>
                <w:color w:val="000000"/>
                <w:kern w:val="0"/>
                <w:szCs w:val="24"/>
                <w14:ligatures w14:val="none"/>
              </w:rPr>
              <w:t>2</w:t>
            </w:r>
            <w:r>
              <w:rPr>
                <w:rFonts w:hint="eastAsia" w:ascii="宋体" w:hAnsi="宋体" w:cs="宋体"/>
                <w:color w:val="000000"/>
                <w:kern w:val="0"/>
                <w:szCs w:val="24"/>
                <w:lang w:val="en-US" w:eastAsia="zh-CN"/>
                <w14:ligatures w14:val="none"/>
              </w:rPr>
              <w:t>4</w:t>
            </w:r>
          </w:p>
        </w:tc>
        <w:tc>
          <w:tcPr>
            <w:tcW w:w="513" w:type="pct"/>
            <w:shd w:val="clear" w:color="auto" w:fill="auto"/>
            <w:vAlign w:val="center"/>
          </w:tcPr>
          <w:p w14:paraId="505C9EFE">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continue"/>
            <w:vAlign w:val="center"/>
          </w:tcPr>
          <w:p w14:paraId="0C4C4ACC">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65DE2363">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存储型服务器网口速率和数量</w:t>
            </w:r>
          </w:p>
        </w:tc>
        <w:tc>
          <w:tcPr>
            <w:tcW w:w="2177" w:type="pct"/>
            <w:shd w:val="clear" w:color="auto" w:fill="auto"/>
            <w:vAlign w:val="center"/>
          </w:tcPr>
          <w:p w14:paraId="16007E69">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不限定</w:t>
            </w:r>
          </w:p>
        </w:tc>
      </w:tr>
      <w:tr w14:paraId="08FE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0" w:type="pct"/>
            <w:shd w:val="clear" w:color="auto" w:fill="auto"/>
            <w:vAlign w:val="center"/>
          </w:tcPr>
          <w:p w14:paraId="5261A62D">
            <w:pPr>
              <w:widowControl/>
              <w:spacing w:line="360" w:lineRule="auto"/>
              <w:jc w:val="center"/>
              <w:rPr>
                <w:rFonts w:hint="eastAsia" w:ascii="宋体" w:hAnsi="宋体" w:eastAsia="宋体" w:cs="宋体"/>
                <w:color w:val="000000"/>
                <w:kern w:val="0"/>
                <w:szCs w:val="24"/>
                <w:lang w:eastAsia="zh-CN"/>
                <w14:ligatures w14:val="none"/>
              </w:rPr>
            </w:pPr>
            <w:r>
              <w:rPr>
                <w:rFonts w:hint="eastAsia" w:ascii="宋体" w:hAnsi="宋体" w:cs="宋体"/>
                <w:color w:val="000000"/>
                <w:kern w:val="0"/>
                <w:szCs w:val="24"/>
                <w14:ligatures w14:val="none"/>
              </w:rPr>
              <w:t>2</w:t>
            </w:r>
            <w:r>
              <w:rPr>
                <w:rFonts w:hint="eastAsia" w:ascii="宋体" w:hAnsi="宋体" w:cs="宋体"/>
                <w:color w:val="000000"/>
                <w:kern w:val="0"/>
                <w:szCs w:val="24"/>
                <w:lang w:val="en-US" w:eastAsia="zh-CN"/>
                <w14:ligatures w14:val="none"/>
              </w:rPr>
              <w:t>5</w:t>
            </w:r>
          </w:p>
        </w:tc>
        <w:tc>
          <w:tcPr>
            <w:tcW w:w="513" w:type="pct"/>
            <w:shd w:val="clear" w:color="auto" w:fill="auto"/>
            <w:vAlign w:val="center"/>
          </w:tcPr>
          <w:p w14:paraId="0730DD80">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continue"/>
            <w:vAlign w:val="center"/>
          </w:tcPr>
          <w:p w14:paraId="78AE201C">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4B12BD3E">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独立网卡网口数量</w:t>
            </w:r>
          </w:p>
        </w:tc>
        <w:tc>
          <w:tcPr>
            <w:tcW w:w="2177" w:type="pct"/>
            <w:shd w:val="clear" w:color="auto" w:fill="auto"/>
            <w:vAlign w:val="center"/>
          </w:tcPr>
          <w:p w14:paraId="28F2E318">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不限定</w:t>
            </w:r>
          </w:p>
        </w:tc>
      </w:tr>
      <w:tr w14:paraId="3E7C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0" w:type="pct"/>
            <w:shd w:val="clear" w:color="auto" w:fill="auto"/>
            <w:vAlign w:val="center"/>
          </w:tcPr>
          <w:p w14:paraId="333C6830">
            <w:pPr>
              <w:widowControl/>
              <w:spacing w:line="360" w:lineRule="auto"/>
              <w:jc w:val="center"/>
              <w:rPr>
                <w:rFonts w:hint="eastAsia" w:ascii="宋体" w:hAnsi="宋体" w:eastAsia="宋体" w:cs="宋体"/>
                <w:color w:val="000000"/>
                <w:kern w:val="0"/>
                <w:szCs w:val="24"/>
                <w:lang w:eastAsia="zh-CN"/>
                <w14:ligatures w14:val="none"/>
              </w:rPr>
            </w:pPr>
            <w:r>
              <w:rPr>
                <w:rFonts w:hint="eastAsia" w:ascii="宋体" w:hAnsi="宋体" w:cs="宋体"/>
                <w:color w:val="000000"/>
                <w:kern w:val="0"/>
                <w:szCs w:val="24"/>
                <w14:ligatures w14:val="none"/>
              </w:rPr>
              <w:t>2</w:t>
            </w:r>
            <w:r>
              <w:rPr>
                <w:rFonts w:hint="eastAsia" w:ascii="宋体" w:hAnsi="宋体" w:cs="宋体"/>
                <w:color w:val="000000"/>
                <w:kern w:val="0"/>
                <w:szCs w:val="24"/>
                <w:lang w:val="en-US" w:eastAsia="zh-CN"/>
                <w14:ligatures w14:val="none"/>
              </w:rPr>
              <w:t>6</w:t>
            </w:r>
          </w:p>
        </w:tc>
        <w:tc>
          <w:tcPr>
            <w:tcW w:w="513" w:type="pct"/>
            <w:shd w:val="clear" w:color="auto" w:fill="auto"/>
            <w:vAlign w:val="center"/>
          </w:tcPr>
          <w:p w14:paraId="2F75C138">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continue"/>
            <w:vAlign w:val="center"/>
          </w:tcPr>
          <w:p w14:paraId="53825BA2">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4B022AF8">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独立网卡接口类型</w:t>
            </w:r>
          </w:p>
        </w:tc>
        <w:tc>
          <w:tcPr>
            <w:tcW w:w="2177" w:type="pct"/>
            <w:shd w:val="clear" w:color="auto" w:fill="auto"/>
            <w:vAlign w:val="center"/>
          </w:tcPr>
          <w:p w14:paraId="2D37531F">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支持RJ45/QSFP/SFP等</w:t>
            </w:r>
          </w:p>
        </w:tc>
      </w:tr>
      <w:tr w14:paraId="775A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0" w:type="pct"/>
            <w:shd w:val="clear" w:color="auto" w:fill="auto"/>
            <w:vAlign w:val="center"/>
          </w:tcPr>
          <w:p w14:paraId="4D95B548">
            <w:pPr>
              <w:widowControl/>
              <w:spacing w:line="360" w:lineRule="auto"/>
              <w:jc w:val="center"/>
              <w:rPr>
                <w:rFonts w:hint="eastAsia" w:ascii="宋体" w:hAnsi="宋体" w:eastAsia="宋体" w:cs="宋体"/>
                <w:color w:val="000000"/>
                <w:kern w:val="0"/>
                <w:szCs w:val="24"/>
                <w:lang w:eastAsia="zh-CN"/>
                <w14:ligatures w14:val="none"/>
              </w:rPr>
            </w:pPr>
            <w:r>
              <w:rPr>
                <w:rFonts w:hint="eastAsia" w:ascii="宋体" w:hAnsi="宋体" w:cs="宋体"/>
                <w:color w:val="000000"/>
                <w:kern w:val="0"/>
                <w:szCs w:val="24"/>
                <w14:ligatures w14:val="none"/>
              </w:rPr>
              <w:t>2</w:t>
            </w:r>
            <w:r>
              <w:rPr>
                <w:rFonts w:hint="eastAsia" w:ascii="宋体" w:hAnsi="宋体" w:cs="宋体"/>
                <w:color w:val="000000"/>
                <w:kern w:val="0"/>
                <w:szCs w:val="24"/>
                <w:lang w:val="en-US" w:eastAsia="zh-CN"/>
                <w14:ligatures w14:val="none"/>
              </w:rPr>
              <w:t>7</w:t>
            </w:r>
          </w:p>
        </w:tc>
        <w:tc>
          <w:tcPr>
            <w:tcW w:w="513" w:type="pct"/>
            <w:shd w:val="clear" w:color="auto" w:fill="auto"/>
            <w:vAlign w:val="center"/>
          </w:tcPr>
          <w:p w14:paraId="035874F6">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continue"/>
            <w:vAlign w:val="center"/>
          </w:tcPr>
          <w:p w14:paraId="738BA0C2">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4EA336CD">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板载网卡接口类型</w:t>
            </w:r>
          </w:p>
        </w:tc>
        <w:tc>
          <w:tcPr>
            <w:tcW w:w="2177" w:type="pct"/>
            <w:shd w:val="clear" w:color="auto" w:fill="auto"/>
            <w:vAlign w:val="center"/>
          </w:tcPr>
          <w:p w14:paraId="667A27EB">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支持RJ45/QSFP/SFP等</w:t>
            </w:r>
          </w:p>
        </w:tc>
      </w:tr>
      <w:tr w14:paraId="1EA4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0" w:type="pct"/>
            <w:shd w:val="clear" w:color="auto" w:fill="auto"/>
            <w:vAlign w:val="center"/>
          </w:tcPr>
          <w:p w14:paraId="5E5137EE">
            <w:pPr>
              <w:widowControl/>
              <w:spacing w:line="360" w:lineRule="auto"/>
              <w:jc w:val="center"/>
              <w:rPr>
                <w:rFonts w:hint="eastAsia" w:ascii="宋体" w:hAnsi="宋体" w:eastAsia="宋体" w:cs="宋体"/>
                <w:color w:val="000000"/>
                <w:kern w:val="0"/>
                <w:szCs w:val="24"/>
                <w:lang w:eastAsia="zh-CN"/>
                <w14:ligatures w14:val="none"/>
              </w:rPr>
            </w:pPr>
            <w:r>
              <w:rPr>
                <w:rFonts w:hint="eastAsia" w:ascii="宋体" w:hAnsi="宋体" w:cs="宋体"/>
                <w:color w:val="000000"/>
                <w:kern w:val="0"/>
                <w:szCs w:val="24"/>
                <w14:ligatures w14:val="none"/>
              </w:rPr>
              <w:t>2</w:t>
            </w:r>
            <w:r>
              <w:rPr>
                <w:rFonts w:hint="eastAsia" w:ascii="宋体" w:hAnsi="宋体" w:cs="宋体"/>
                <w:color w:val="000000"/>
                <w:kern w:val="0"/>
                <w:szCs w:val="24"/>
                <w:lang w:val="en-US" w:eastAsia="zh-CN"/>
                <w14:ligatures w14:val="none"/>
              </w:rPr>
              <w:t>8</w:t>
            </w:r>
          </w:p>
        </w:tc>
        <w:tc>
          <w:tcPr>
            <w:tcW w:w="513" w:type="pct"/>
            <w:shd w:val="clear" w:color="auto" w:fill="auto"/>
            <w:vAlign w:val="center"/>
          </w:tcPr>
          <w:p w14:paraId="6CDB9686">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restart"/>
            <w:shd w:val="clear" w:color="auto" w:fill="auto"/>
            <w:vAlign w:val="center"/>
          </w:tcPr>
          <w:p w14:paraId="3F2A968E">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外部接口规格</w:t>
            </w:r>
          </w:p>
        </w:tc>
        <w:tc>
          <w:tcPr>
            <w:tcW w:w="1341" w:type="pct"/>
            <w:shd w:val="clear" w:color="auto" w:fill="auto"/>
            <w:vAlign w:val="center"/>
          </w:tcPr>
          <w:p w14:paraId="5FDE936F">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★显示接口</w:t>
            </w:r>
          </w:p>
        </w:tc>
        <w:tc>
          <w:tcPr>
            <w:tcW w:w="2177" w:type="pct"/>
            <w:shd w:val="clear" w:color="auto" w:fill="auto"/>
            <w:vAlign w:val="center"/>
          </w:tcPr>
          <w:p w14:paraId="78CAFEF5">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≥1个VGA接口</w:t>
            </w:r>
          </w:p>
        </w:tc>
      </w:tr>
      <w:tr w14:paraId="3DCC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0" w:type="pct"/>
            <w:shd w:val="clear" w:color="auto" w:fill="auto"/>
            <w:vAlign w:val="center"/>
          </w:tcPr>
          <w:p w14:paraId="1538605D">
            <w:pPr>
              <w:widowControl/>
              <w:spacing w:line="360" w:lineRule="auto"/>
              <w:jc w:val="center"/>
              <w:rPr>
                <w:rFonts w:hint="eastAsia" w:ascii="宋体" w:hAnsi="宋体" w:eastAsia="宋体" w:cs="宋体"/>
                <w:color w:val="000000"/>
                <w:kern w:val="0"/>
                <w:szCs w:val="24"/>
                <w:lang w:eastAsia="zh-CN"/>
                <w14:ligatures w14:val="none"/>
              </w:rPr>
            </w:pPr>
            <w:r>
              <w:rPr>
                <w:rFonts w:hint="eastAsia" w:ascii="宋体" w:hAnsi="宋体" w:cs="宋体"/>
                <w:color w:val="000000"/>
                <w:kern w:val="0"/>
                <w:szCs w:val="24"/>
                <w14:ligatures w14:val="none"/>
              </w:rPr>
              <w:t>2</w:t>
            </w:r>
            <w:r>
              <w:rPr>
                <w:rFonts w:hint="eastAsia" w:ascii="宋体" w:hAnsi="宋体" w:cs="宋体"/>
                <w:color w:val="000000"/>
                <w:kern w:val="0"/>
                <w:szCs w:val="24"/>
                <w:lang w:val="en-US" w:eastAsia="zh-CN"/>
                <w14:ligatures w14:val="none"/>
              </w:rPr>
              <w:t>9</w:t>
            </w:r>
          </w:p>
        </w:tc>
        <w:tc>
          <w:tcPr>
            <w:tcW w:w="513" w:type="pct"/>
            <w:shd w:val="clear" w:color="auto" w:fill="auto"/>
            <w:vAlign w:val="center"/>
          </w:tcPr>
          <w:p w14:paraId="2ED59685">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continue"/>
            <w:vAlign w:val="center"/>
          </w:tcPr>
          <w:p w14:paraId="52FC31C6">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300E6162">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★USB 接口</w:t>
            </w:r>
          </w:p>
        </w:tc>
        <w:tc>
          <w:tcPr>
            <w:tcW w:w="2177" w:type="pct"/>
            <w:shd w:val="clear" w:color="auto" w:fill="auto"/>
            <w:vAlign w:val="center"/>
          </w:tcPr>
          <w:p w14:paraId="32BAA805">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主机标配USB接口≥4个</w:t>
            </w:r>
          </w:p>
        </w:tc>
      </w:tr>
      <w:tr w14:paraId="73BB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0" w:type="pct"/>
            <w:shd w:val="clear" w:color="auto" w:fill="auto"/>
            <w:vAlign w:val="center"/>
          </w:tcPr>
          <w:p w14:paraId="6E9ED8FC">
            <w:pPr>
              <w:widowControl/>
              <w:spacing w:line="360" w:lineRule="auto"/>
              <w:jc w:val="center"/>
              <w:rPr>
                <w:rFonts w:hint="default" w:ascii="宋体" w:hAnsi="宋体" w:eastAsia="宋体" w:cs="宋体"/>
                <w:color w:val="000000"/>
                <w:kern w:val="0"/>
                <w:szCs w:val="24"/>
                <w:lang w:val="en-US" w:eastAsia="zh-CN"/>
                <w14:ligatures w14:val="none"/>
              </w:rPr>
            </w:pPr>
            <w:r>
              <w:rPr>
                <w:rFonts w:hint="eastAsia" w:ascii="宋体" w:hAnsi="宋体" w:cs="宋体"/>
                <w:color w:val="000000"/>
                <w:kern w:val="0"/>
                <w:szCs w:val="24"/>
                <w:lang w:val="en-US" w:eastAsia="zh-CN"/>
                <w14:ligatures w14:val="none"/>
              </w:rPr>
              <w:t>30</w:t>
            </w:r>
          </w:p>
        </w:tc>
        <w:tc>
          <w:tcPr>
            <w:tcW w:w="513" w:type="pct"/>
            <w:shd w:val="clear" w:color="auto" w:fill="auto"/>
            <w:vAlign w:val="center"/>
          </w:tcPr>
          <w:p w14:paraId="5EF7317C">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continue"/>
            <w:vAlign w:val="center"/>
          </w:tcPr>
          <w:p w14:paraId="4C32384A">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3DA64B58">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特殊接口及孔位</w:t>
            </w:r>
          </w:p>
        </w:tc>
        <w:tc>
          <w:tcPr>
            <w:tcW w:w="2177" w:type="pct"/>
            <w:shd w:val="clear" w:color="auto" w:fill="auto"/>
            <w:vAlign w:val="center"/>
          </w:tcPr>
          <w:p w14:paraId="2FA54E5B">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不涉及</w:t>
            </w:r>
          </w:p>
        </w:tc>
      </w:tr>
      <w:tr w14:paraId="4A10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0" w:type="pct"/>
            <w:shd w:val="clear" w:color="auto" w:fill="auto"/>
            <w:vAlign w:val="center"/>
          </w:tcPr>
          <w:p w14:paraId="03272650">
            <w:pPr>
              <w:widowControl/>
              <w:spacing w:line="360" w:lineRule="auto"/>
              <w:jc w:val="center"/>
              <w:rPr>
                <w:rFonts w:hint="eastAsia" w:ascii="宋体" w:hAnsi="宋体" w:eastAsia="宋体" w:cs="宋体"/>
                <w:color w:val="000000"/>
                <w:kern w:val="0"/>
                <w:szCs w:val="24"/>
                <w:lang w:eastAsia="zh-CN"/>
                <w14:ligatures w14:val="none"/>
              </w:rPr>
            </w:pPr>
            <w:r>
              <w:rPr>
                <w:rFonts w:hint="eastAsia" w:ascii="宋体" w:hAnsi="宋体" w:cs="宋体"/>
                <w:color w:val="000000"/>
                <w:kern w:val="0"/>
                <w:szCs w:val="24"/>
                <w14:ligatures w14:val="none"/>
              </w:rPr>
              <w:t>3</w:t>
            </w:r>
            <w:r>
              <w:rPr>
                <w:rFonts w:hint="eastAsia" w:ascii="宋体" w:hAnsi="宋体" w:cs="宋体"/>
                <w:color w:val="000000"/>
                <w:kern w:val="0"/>
                <w:szCs w:val="24"/>
                <w:lang w:val="en-US" w:eastAsia="zh-CN"/>
                <w14:ligatures w14:val="none"/>
              </w:rPr>
              <w:t>1</w:t>
            </w:r>
          </w:p>
        </w:tc>
        <w:tc>
          <w:tcPr>
            <w:tcW w:w="513" w:type="pct"/>
            <w:shd w:val="clear" w:color="auto" w:fill="auto"/>
            <w:vAlign w:val="center"/>
          </w:tcPr>
          <w:p w14:paraId="0FF58EBA">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continue"/>
            <w:vAlign w:val="center"/>
          </w:tcPr>
          <w:p w14:paraId="5A7129DF">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4260389D">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其他接口</w:t>
            </w:r>
          </w:p>
        </w:tc>
        <w:tc>
          <w:tcPr>
            <w:tcW w:w="2177" w:type="pct"/>
            <w:shd w:val="clear" w:color="auto" w:fill="auto"/>
            <w:vAlign w:val="center"/>
          </w:tcPr>
          <w:p w14:paraId="0068A865">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≥1个管理网口</w:t>
            </w:r>
          </w:p>
        </w:tc>
      </w:tr>
      <w:tr w14:paraId="3931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40" w:type="pct"/>
            <w:shd w:val="clear" w:color="auto" w:fill="auto"/>
            <w:vAlign w:val="center"/>
          </w:tcPr>
          <w:p w14:paraId="032814CF">
            <w:pPr>
              <w:widowControl/>
              <w:spacing w:line="360" w:lineRule="auto"/>
              <w:jc w:val="center"/>
              <w:rPr>
                <w:rFonts w:hint="eastAsia" w:ascii="宋体" w:hAnsi="宋体" w:eastAsia="宋体" w:cs="宋体"/>
                <w:color w:val="000000"/>
                <w:kern w:val="0"/>
                <w:szCs w:val="24"/>
                <w:lang w:eastAsia="zh-CN"/>
                <w14:ligatures w14:val="none"/>
              </w:rPr>
            </w:pPr>
            <w:r>
              <w:rPr>
                <w:rFonts w:hint="eastAsia" w:ascii="宋体" w:hAnsi="宋体" w:cs="宋体"/>
                <w:color w:val="000000"/>
                <w:kern w:val="0"/>
                <w:szCs w:val="24"/>
                <w14:ligatures w14:val="none"/>
              </w:rPr>
              <w:t>3</w:t>
            </w:r>
            <w:r>
              <w:rPr>
                <w:rFonts w:hint="eastAsia" w:ascii="宋体" w:hAnsi="宋体" w:cs="宋体"/>
                <w:color w:val="000000"/>
                <w:kern w:val="0"/>
                <w:szCs w:val="24"/>
                <w:lang w:val="en-US" w:eastAsia="zh-CN"/>
                <w14:ligatures w14:val="none"/>
              </w:rPr>
              <w:t>2</w:t>
            </w:r>
          </w:p>
        </w:tc>
        <w:tc>
          <w:tcPr>
            <w:tcW w:w="513" w:type="pct"/>
            <w:shd w:val="clear" w:color="auto" w:fill="auto"/>
            <w:vAlign w:val="center"/>
          </w:tcPr>
          <w:p w14:paraId="33B2F9C1">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restart"/>
            <w:shd w:val="clear" w:color="auto" w:fill="auto"/>
            <w:vAlign w:val="center"/>
          </w:tcPr>
          <w:p w14:paraId="74242F90">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电源规格</w:t>
            </w:r>
          </w:p>
        </w:tc>
        <w:tc>
          <w:tcPr>
            <w:tcW w:w="1341" w:type="pct"/>
            <w:shd w:val="clear" w:color="auto" w:fill="auto"/>
            <w:vAlign w:val="center"/>
          </w:tcPr>
          <w:p w14:paraId="2B419EF9">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电源冗余模式</w:t>
            </w:r>
          </w:p>
        </w:tc>
        <w:tc>
          <w:tcPr>
            <w:tcW w:w="2177" w:type="pct"/>
            <w:shd w:val="clear" w:color="auto" w:fill="auto"/>
            <w:vAlign w:val="center"/>
          </w:tcPr>
          <w:p w14:paraId="0F7C9372">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电源：配置2个热插拔冗余电源， 支持 1+1冗余；</w:t>
            </w:r>
          </w:p>
        </w:tc>
      </w:tr>
      <w:tr w14:paraId="2088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316B53F4">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33</w:t>
            </w:r>
          </w:p>
        </w:tc>
        <w:tc>
          <w:tcPr>
            <w:tcW w:w="513" w:type="pct"/>
            <w:shd w:val="clear" w:color="auto" w:fill="auto"/>
            <w:vAlign w:val="center"/>
          </w:tcPr>
          <w:p w14:paraId="7D809599">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continue"/>
            <w:vAlign w:val="center"/>
          </w:tcPr>
          <w:p w14:paraId="48F8063E">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6E145582">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★电源模块数量</w:t>
            </w:r>
          </w:p>
        </w:tc>
        <w:tc>
          <w:tcPr>
            <w:tcW w:w="2177" w:type="pct"/>
            <w:shd w:val="clear" w:color="auto" w:fill="auto"/>
            <w:vAlign w:val="center"/>
          </w:tcPr>
          <w:p w14:paraId="1D21460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≥2</w:t>
            </w:r>
          </w:p>
        </w:tc>
      </w:tr>
      <w:tr w14:paraId="32E3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2617A7EF">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34</w:t>
            </w:r>
          </w:p>
        </w:tc>
        <w:tc>
          <w:tcPr>
            <w:tcW w:w="513" w:type="pct"/>
            <w:shd w:val="clear" w:color="auto" w:fill="auto"/>
            <w:vAlign w:val="center"/>
          </w:tcPr>
          <w:p w14:paraId="74924D1E">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continue"/>
            <w:vAlign w:val="center"/>
          </w:tcPr>
          <w:p w14:paraId="2BA57B2D">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067329D2">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★电源功率</w:t>
            </w:r>
          </w:p>
        </w:tc>
        <w:tc>
          <w:tcPr>
            <w:tcW w:w="2177" w:type="pct"/>
            <w:shd w:val="clear" w:color="auto" w:fill="auto"/>
            <w:vAlign w:val="center"/>
          </w:tcPr>
          <w:p w14:paraId="0B1800CF">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≥800W</w:t>
            </w:r>
          </w:p>
        </w:tc>
      </w:tr>
      <w:tr w14:paraId="020B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65C0500D">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35</w:t>
            </w:r>
          </w:p>
        </w:tc>
        <w:tc>
          <w:tcPr>
            <w:tcW w:w="513" w:type="pct"/>
            <w:shd w:val="clear" w:color="auto" w:fill="auto"/>
            <w:vAlign w:val="center"/>
          </w:tcPr>
          <w:p w14:paraId="1DCBF43E">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continue"/>
            <w:vAlign w:val="center"/>
          </w:tcPr>
          <w:p w14:paraId="3465A91E">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3B15BF63">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电源指示灯</w:t>
            </w:r>
          </w:p>
        </w:tc>
        <w:tc>
          <w:tcPr>
            <w:tcW w:w="2177" w:type="pct"/>
            <w:shd w:val="clear" w:color="auto" w:fill="auto"/>
            <w:vAlign w:val="center"/>
          </w:tcPr>
          <w:p w14:paraId="4C5C0A7D">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配备电源指示灯，指示待机、工作异常等状态</w:t>
            </w:r>
          </w:p>
        </w:tc>
      </w:tr>
      <w:tr w14:paraId="700C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trPr>
        <w:tc>
          <w:tcPr>
            <w:tcW w:w="576" w:type="dxa"/>
            <w:shd w:val="clear" w:color="auto" w:fill="auto"/>
            <w:vAlign w:val="center"/>
          </w:tcPr>
          <w:p w14:paraId="012B7CC2">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36</w:t>
            </w:r>
          </w:p>
        </w:tc>
        <w:tc>
          <w:tcPr>
            <w:tcW w:w="513" w:type="pct"/>
            <w:shd w:val="clear" w:color="auto" w:fill="auto"/>
            <w:vAlign w:val="center"/>
          </w:tcPr>
          <w:p w14:paraId="7C5DC31E">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restart"/>
            <w:shd w:val="clear" w:color="auto" w:fill="auto"/>
            <w:vAlign w:val="center"/>
          </w:tcPr>
          <w:p w14:paraId="34133FEB">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整机规格</w:t>
            </w:r>
          </w:p>
        </w:tc>
        <w:tc>
          <w:tcPr>
            <w:tcW w:w="1341" w:type="pct"/>
            <w:shd w:val="clear" w:color="auto" w:fill="auto"/>
            <w:vAlign w:val="center"/>
          </w:tcPr>
          <w:p w14:paraId="6187E1ED">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★外观和结构</w:t>
            </w:r>
          </w:p>
        </w:tc>
        <w:tc>
          <w:tcPr>
            <w:tcW w:w="2177" w:type="pct"/>
            <w:shd w:val="clear" w:color="auto" w:fill="auto"/>
            <w:vAlign w:val="center"/>
          </w:tcPr>
          <w:p w14:paraId="34F32CD8">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a)服务器的零部件应紧固无松动，可插拔部件应可靠连接，开关、按钮和其它控制部件应灵活可靠，布局应方便使用；b)产品表面不应有明显的凹痕、划伤、裂缝、变形和污染等。表面涂层均匀，不应起泡、龟裂、脱落和磨损，金属零部件无锈蚀及其它机械损伤；c)产品表面说明功能的文字、符号和标志应清晰、端正且牢固；d)应在服务器的显著位置提供运行状态的指示功能，并在随机文件中明确具体含义；e)机架、机箱的尺寸应符合通用机柜的安装要求，插入总线插座的电路板接口外形尺寸应符合有关总线标准的规定，将机箱固定在机柜上，机箱底面最大下垂变形不得干涉相邻机体；f)高密度服务器应给出CPU个数与机柜高度；g)服务器尺寸具体要求在随机文件中明确</w:t>
            </w:r>
          </w:p>
        </w:tc>
      </w:tr>
      <w:tr w14:paraId="32D3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2064BF2F">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37</w:t>
            </w:r>
          </w:p>
        </w:tc>
        <w:tc>
          <w:tcPr>
            <w:tcW w:w="513" w:type="pct"/>
            <w:shd w:val="clear" w:color="auto" w:fill="auto"/>
            <w:vAlign w:val="center"/>
          </w:tcPr>
          <w:p w14:paraId="540722BF">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continue"/>
            <w:vAlign w:val="center"/>
          </w:tcPr>
          <w:p w14:paraId="30CCEDD4">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40CC9BD5">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★尺寸(高×宽×深)</w:t>
            </w:r>
          </w:p>
        </w:tc>
        <w:tc>
          <w:tcPr>
            <w:tcW w:w="2177" w:type="pct"/>
            <w:shd w:val="clear" w:color="auto" w:fill="auto"/>
            <w:vAlign w:val="center"/>
          </w:tcPr>
          <w:p w14:paraId="04830E9A">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≤88mm ×≤482mm×≤820mm</w:t>
            </w:r>
          </w:p>
        </w:tc>
      </w:tr>
      <w:tr w14:paraId="4259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05D3BF0C">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38</w:t>
            </w:r>
          </w:p>
        </w:tc>
        <w:tc>
          <w:tcPr>
            <w:tcW w:w="513" w:type="pct"/>
            <w:shd w:val="clear" w:color="auto" w:fill="auto"/>
            <w:vAlign w:val="center"/>
          </w:tcPr>
          <w:p w14:paraId="2754E17D">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continue"/>
            <w:vAlign w:val="center"/>
          </w:tcPr>
          <w:p w14:paraId="7E5B3FBD">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0DA932DE">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服务器导轨</w:t>
            </w:r>
          </w:p>
        </w:tc>
        <w:tc>
          <w:tcPr>
            <w:tcW w:w="2177" w:type="pct"/>
            <w:shd w:val="clear" w:color="auto" w:fill="auto"/>
            <w:vAlign w:val="center"/>
          </w:tcPr>
          <w:p w14:paraId="2F113635">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标准滑轨，可安装于标准机柜</w:t>
            </w:r>
          </w:p>
        </w:tc>
      </w:tr>
      <w:tr w14:paraId="4448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6" w:type="dxa"/>
            <w:shd w:val="clear" w:color="auto" w:fill="auto"/>
            <w:vAlign w:val="center"/>
          </w:tcPr>
          <w:p w14:paraId="7810D2B2">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39</w:t>
            </w:r>
          </w:p>
        </w:tc>
        <w:tc>
          <w:tcPr>
            <w:tcW w:w="513" w:type="pct"/>
            <w:shd w:val="clear" w:color="auto" w:fill="auto"/>
            <w:vAlign w:val="center"/>
          </w:tcPr>
          <w:p w14:paraId="386FDC91">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continue"/>
            <w:vAlign w:val="center"/>
          </w:tcPr>
          <w:p w14:paraId="366D81B7">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2216178F">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CPU个数与机柜高度单位(U)比</w:t>
            </w:r>
          </w:p>
        </w:tc>
        <w:tc>
          <w:tcPr>
            <w:tcW w:w="2177" w:type="pct"/>
            <w:shd w:val="clear" w:color="auto" w:fill="auto"/>
            <w:vAlign w:val="center"/>
          </w:tcPr>
          <w:p w14:paraId="449286C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单台服务器配置2颗CPU，与机柜所占高度单位（U）比≥1：1</w:t>
            </w:r>
          </w:p>
        </w:tc>
      </w:tr>
      <w:tr w14:paraId="504D3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76" w:type="dxa"/>
            <w:shd w:val="clear" w:color="auto" w:fill="auto"/>
            <w:vAlign w:val="center"/>
          </w:tcPr>
          <w:p w14:paraId="3AFCCC5E">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40</w:t>
            </w:r>
          </w:p>
        </w:tc>
        <w:tc>
          <w:tcPr>
            <w:tcW w:w="513" w:type="pct"/>
            <w:shd w:val="clear" w:color="auto" w:fill="auto"/>
            <w:vAlign w:val="center"/>
          </w:tcPr>
          <w:p w14:paraId="0F390DB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continue"/>
            <w:vAlign w:val="center"/>
          </w:tcPr>
          <w:p w14:paraId="1ACFD79C">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328F4301">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★环境适应性</w:t>
            </w:r>
          </w:p>
        </w:tc>
        <w:tc>
          <w:tcPr>
            <w:tcW w:w="2177" w:type="pct"/>
            <w:shd w:val="clear" w:color="auto" w:fill="auto"/>
            <w:vAlign w:val="center"/>
          </w:tcPr>
          <w:p w14:paraId="3D0A5435">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气候环境适应性应符合GB/T9813.3的有关规定，工作温度10~35℃,贮存运输温度-40～55℃;工作相对湿度35%～80%，贮存运输相对湿度20％～93%（40℃);大气压86～106kPa</w:t>
            </w:r>
          </w:p>
        </w:tc>
      </w:tr>
      <w:tr w14:paraId="4045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3E1FDD13">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41</w:t>
            </w:r>
          </w:p>
        </w:tc>
        <w:tc>
          <w:tcPr>
            <w:tcW w:w="513" w:type="pct"/>
            <w:shd w:val="clear" w:color="auto" w:fill="auto"/>
            <w:vAlign w:val="center"/>
          </w:tcPr>
          <w:p w14:paraId="67710781">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continue"/>
            <w:vAlign w:val="center"/>
          </w:tcPr>
          <w:p w14:paraId="7639C563">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21566BE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特殊机型环境适应性</w:t>
            </w:r>
          </w:p>
        </w:tc>
        <w:tc>
          <w:tcPr>
            <w:tcW w:w="2177" w:type="pct"/>
            <w:shd w:val="clear" w:color="auto" w:fill="auto"/>
            <w:vAlign w:val="center"/>
          </w:tcPr>
          <w:p w14:paraId="0B75C64C">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不涉及</w:t>
            </w:r>
          </w:p>
        </w:tc>
      </w:tr>
      <w:tr w14:paraId="745C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363C67FF">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42</w:t>
            </w:r>
          </w:p>
        </w:tc>
        <w:tc>
          <w:tcPr>
            <w:tcW w:w="513" w:type="pct"/>
            <w:shd w:val="clear" w:color="auto" w:fill="auto"/>
            <w:vAlign w:val="center"/>
          </w:tcPr>
          <w:p w14:paraId="466E7675">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continue"/>
            <w:vAlign w:val="center"/>
          </w:tcPr>
          <w:p w14:paraId="16C331A9">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5954DAFD">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★机械环境适应性</w:t>
            </w:r>
          </w:p>
        </w:tc>
        <w:tc>
          <w:tcPr>
            <w:tcW w:w="2177" w:type="pct"/>
            <w:shd w:val="clear" w:color="auto" w:fill="auto"/>
            <w:vAlign w:val="center"/>
          </w:tcPr>
          <w:p w14:paraId="2761F766">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机械环境适应性应符合GB/T 9813.3 的有关规定</w:t>
            </w:r>
          </w:p>
        </w:tc>
      </w:tr>
      <w:tr w14:paraId="4656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6" w:type="dxa"/>
            <w:shd w:val="clear" w:color="auto" w:fill="auto"/>
            <w:vAlign w:val="center"/>
          </w:tcPr>
          <w:p w14:paraId="287A5A38">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43</w:t>
            </w:r>
          </w:p>
        </w:tc>
        <w:tc>
          <w:tcPr>
            <w:tcW w:w="513" w:type="pct"/>
            <w:shd w:val="clear" w:color="auto" w:fill="auto"/>
            <w:vAlign w:val="center"/>
          </w:tcPr>
          <w:p w14:paraId="78E3ECE2">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continue"/>
            <w:vAlign w:val="center"/>
          </w:tcPr>
          <w:p w14:paraId="5B03926F">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3315A1BD">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★噪声</w:t>
            </w:r>
          </w:p>
        </w:tc>
        <w:tc>
          <w:tcPr>
            <w:tcW w:w="2177" w:type="pct"/>
            <w:shd w:val="clear" w:color="auto" w:fill="auto"/>
            <w:vAlign w:val="center"/>
          </w:tcPr>
          <w:p w14:paraId="5FEA9B56">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符合GB/T9813.3的有关规定，在产品说明中给出具体测试值塔式服务器噪声在空闲状态下不大于50dB</w:t>
            </w:r>
          </w:p>
        </w:tc>
      </w:tr>
      <w:tr w14:paraId="7B38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70BAF509">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44</w:t>
            </w:r>
          </w:p>
        </w:tc>
        <w:tc>
          <w:tcPr>
            <w:tcW w:w="513" w:type="pct"/>
            <w:shd w:val="clear" w:color="auto" w:fill="auto"/>
            <w:vAlign w:val="center"/>
          </w:tcPr>
          <w:p w14:paraId="4F5754C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restart"/>
            <w:shd w:val="clear" w:color="auto" w:fill="auto"/>
            <w:vAlign w:val="center"/>
          </w:tcPr>
          <w:p w14:paraId="645C2F88">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AI计算单元规格</w:t>
            </w:r>
          </w:p>
        </w:tc>
        <w:tc>
          <w:tcPr>
            <w:tcW w:w="1341" w:type="pct"/>
            <w:shd w:val="clear" w:color="auto" w:fill="auto"/>
            <w:vAlign w:val="center"/>
          </w:tcPr>
          <w:p w14:paraId="3F985B0F">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AI 计算单元</w:t>
            </w:r>
          </w:p>
        </w:tc>
        <w:tc>
          <w:tcPr>
            <w:tcW w:w="2177" w:type="pct"/>
            <w:shd w:val="clear" w:color="auto" w:fill="auto"/>
            <w:vAlign w:val="center"/>
          </w:tcPr>
          <w:p w14:paraId="52EA2271">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不涉及</w:t>
            </w:r>
          </w:p>
        </w:tc>
      </w:tr>
      <w:tr w14:paraId="106E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372E8D81">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45</w:t>
            </w:r>
          </w:p>
        </w:tc>
        <w:tc>
          <w:tcPr>
            <w:tcW w:w="513" w:type="pct"/>
            <w:shd w:val="clear" w:color="auto" w:fill="auto"/>
            <w:vAlign w:val="center"/>
          </w:tcPr>
          <w:p w14:paraId="0FF7654F">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continue"/>
            <w:vAlign w:val="center"/>
          </w:tcPr>
          <w:p w14:paraId="20F63A34">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2123A0B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一键式迁移</w:t>
            </w:r>
          </w:p>
        </w:tc>
        <w:tc>
          <w:tcPr>
            <w:tcW w:w="2177" w:type="pct"/>
            <w:shd w:val="clear" w:color="auto" w:fill="auto"/>
            <w:vAlign w:val="center"/>
          </w:tcPr>
          <w:p w14:paraId="6ED8DBA0">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不涉及</w:t>
            </w:r>
          </w:p>
        </w:tc>
      </w:tr>
      <w:tr w14:paraId="6800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791EC9B6">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46</w:t>
            </w:r>
          </w:p>
        </w:tc>
        <w:tc>
          <w:tcPr>
            <w:tcW w:w="513" w:type="pct"/>
            <w:shd w:val="clear" w:color="auto" w:fill="auto"/>
            <w:vAlign w:val="center"/>
          </w:tcPr>
          <w:p w14:paraId="2D2D43C1">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restart"/>
            <w:shd w:val="clear" w:color="auto" w:fill="auto"/>
            <w:vAlign w:val="center"/>
          </w:tcPr>
          <w:p w14:paraId="3C8D07AC">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机柜规格</w:t>
            </w:r>
          </w:p>
        </w:tc>
        <w:tc>
          <w:tcPr>
            <w:tcW w:w="1341" w:type="pct"/>
            <w:shd w:val="clear" w:color="auto" w:fill="auto"/>
            <w:vAlign w:val="center"/>
          </w:tcPr>
          <w:p w14:paraId="096C330B">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★机柜尺寸</w:t>
            </w:r>
          </w:p>
        </w:tc>
        <w:tc>
          <w:tcPr>
            <w:tcW w:w="2177" w:type="pct"/>
            <w:shd w:val="clear" w:color="auto" w:fill="auto"/>
            <w:vAlign w:val="center"/>
          </w:tcPr>
          <w:p w14:paraId="16EEF382">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不涉及</w:t>
            </w:r>
          </w:p>
        </w:tc>
      </w:tr>
      <w:tr w14:paraId="1074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7440311A">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47</w:t>
            </w:r>
          </w:p>
        </w:tc>
        <w:tc>
          <w:tcPr>
            <w:tcW w:w="513" w:type="pct"/>
            <w:shd w:val="clear" w:color="auto" w:fill="auto"/>
            <w:vAlign w:val="center"/>
          </w:tcPr>
          <w:p w14:paraId="5DA8B97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continue"/>
            <w:vAlign w:val="center"/>
          </w:tcPr>
          <w:p w14:paraId="2CDFF05C">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2614C301">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机柜管理板</w:t>
            </w:r>
          </w:p>
        </w:tc>
        <w:tc>
          <w:tcPr>
            <w:tcW w:w="2177" w:type="pct"/>
            <w:shd w:val="clear" w:color="auto" w:fill="auto"/>
            <w:vAlign w:val="center"/>
          </w:tcPr>
          <w:p w14:paraId="0589BF1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不涉及</w:t>
            </w:r>
          </w:p>
        </w:tc>
      </w:tr>
      <w:tr w14:paraId="5BF0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522AB7E8">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48</w:t>
            </w:r>
          </w:p>
        </w:tc>
        <w:tc>
          <w:tcPr>
            <w:tcW w:w="513" w:type="pct"/>
            <w:shd w:val="clear" w:color="auto" w:fill="auto"/>
            <w:vAlign w:val="center"/>
          </w:tcPr>
          <w:p w14:paraId="4BDE2E53">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产品规格</w:t>
            </w:r>
          </w:p>
        </w:tc>
        <w:tc>
          <w:tcPr>
            <w:tcW w:w="729" w:type="pct"/>
            <w:vMerge w:val="continue"/>
            <w:vAlign w:val="center"/>
          </w:tcPr>
          <w:p w14:paraId="25A40756">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20BA3846">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机柜电源规格</w:t>
            </w:r>
          </w:p>
        </w:tc>
        <w:tc>
          <w:tcPr>
            <w:tcW w:w="2177" w:type="pct"/>
            <w:shd w:val="clear" w:color="auto" w:fill="auto"/>
            <w:vAlign w:val="center"/>
          </w:tcPr>
          <w:p w14:paraId="230D9A9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不涉及</w:t>
            </w:r>
          </w:p>
        </w:tc>
      </w:tr>
      <w:tr w14:paraId="35BF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6" w:type="dxa"/>
            <w:shd w:val="clear" w:color="auto" w:fill="auto"/>
            <w:vAlign w:val="center"/>
          </w:tcPr>
          <w:p w14:paraId="2F89F13A">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49</w:t>
            </w:r>
          </w:p>
        </w:tc>
        <w:tc>
          <w:tcPr>
            <w:tcW w:w="513" w:type="pct"/>
            <w:shd w:val="clear" w:color="auto" w:fill="auto"/>
            <w:vAlign w:val="center"/>
          </w:tcPr>
          <w:p w14:paraId="59F817FC">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功能要求</w:t>
            </w:r>
          </w:p>
        </w:tc>
        <w:tc>
          <w:tcPr>
            <w:tcW w:w="729" w:type="pct"/>
            <w:vMerge w:val="restart"/>
            <w:shd w:val="clear" w:color="auto" w:fill="auto"/>
            <w:vAlign w:val="center"/>
          </w:tcPr>
          <w:p w14:paraId="1DBCF731">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主板功能</w:t>
            </w:r>
          </w:p>
        </w:tc>
        <w:tc>
          <w:tcPr>
            <w:tcW w:w="1341" w:type="pct"/>
            <w:shd w:val="clear" w:color="auto" w:fill="auto"/>
            <w:vAlign w:val="center"/>
          </w:tcPr>
          <w:p w14:paraId="7563C1B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★主板外部接口种类</w:t>
            </w:r>
          </w:p>
        </w:tc>
        <w:tc>
          <w:tcPr>
            <w:tcW w:w="2177" w:type="pct"/>
            <w:shd w:val="clear" w:color="auto" w:fill="auto"/>
            <w:vAlign w:val="center"/>
          </w:tcPr>
          <w:p w14:paraId="0F0B0B5B">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支持USB、显示、管理等接口，如： VGA、USB3.0 、BMC管理端口</w:t>
            </w:r>
          </w:p>
        </w:tc>
      </w:tr>
      <w:tr w14:paraId="25B7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0B60567E">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50</w:t>
            </w:r>
          </w:p>
        </w:tc>
        <w:tc>
          <w:tcPr>
            <w:tcW w:w="513" w:type="pct"/>
            <w:shd w:val="clear" w:color="auto" w:fill="auto"/>
            <w:vAlign w:val="center"/>
          </w:tcPr>
          <w:p w14:paraId="09E2D80C">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功能要求</w:t>
            </w:r>
          </w:p>
        </w:tc>
        <w:tc>
          <w:tcPr>
            <w:tcW w:w="729" w:type="pct"/>
            <w:vMerge w:val="continue"/>
            <w:vAlign w:val="center"/>
          </w:tcPr>
          <w:p w14:paraId="5E8707A5">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7D3D231F">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主板防烧板设计</w:t>
            </w:r>
          </w:p>
        </w:tc>
        <w:tc>
          <w:tcPr>
            <w:tcW w:w="2177" w:type="pct"/>
            <w:shd w:val="clear" w:color="auto" w:fill="auto"/>
            <w:vAlign w:val="center"/>
          </w:tcPr>
          <w:p w14:paraId="2D7968D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支持主板防烧板设计，保证电源故障后不扩散</w:t>
            </w:r>
          </w:p>
        </w:tc>
      </w:tr>
      <w:tr w14:paraId="3407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6" w:type="dxa"/>
            <w:shd w:val="clear" w:color="auto" w:fill="auto"/>
            <w:vAlign w:val="center"/>
          </w:tcPr>
          <w:p w14:paraId="068D4145">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51</w:t>
            </w:r>
          </w:p>
        </w:tc>
        <w:tc>
          <w:tcPr>
            <w:tcW w:w="513" w:type="pct"/>
            <w:shd w:val="clear" w:color="auto" w:fill="auto"/>
            <w:vAlign w:val="center"/>
          </w:tcPr>
          <w:p w14:paraId="740DB361">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功能要求</w:t>
            </w:r>
          </w:p>
        </w:tc>
        <w:tc>
          <w:tcPr>
            <w:tcW w:w="729" w:type="pct"/>
            <w:vMerge w:val="continue"/>
            <w:vAlign w:val="center"/>
          </w:tcPr>
          <w:p w14:paraId="4CA77CBC">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506912BC">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扩展功能</w:t>
            </w:r>
          </w:p>
        </w:tc>
        <w:tc>
          <w:tcPr>
            <w:tcW w:w="2177" w:type="pct"/>
            <w:shd w:val="clear" w:color="auto" w:fill="auto"/>
            <w:vAlign w:val="center"/>
          </w:tcPr>
          <w:p w14:paraId="6A00995A">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实现至少一种扩展功能，如存储功能卡、显示功能卡、运算加速功能卡及网络功能卡等扩展功能</w:t>
            </w:r>
          </w:p>
        </w:tc>
      </w:tr>
      <w:tr w14:paraId="7581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6" w:type="dxa"/>
            <w:shd w:val="clear" w:color="auto" w:fill="auto"/>
            <w:vAlign w:val="center"/>
          </w:tcPr>
          <w:p w14:paraId="2FA16FE8">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52</w:t>
            </w:r>
          </w:p>
        </w:tc>
        <w:tc>
          <w:tcPr>
            <w:tcW w:w="513" w:type="pct"/>
            <w:shd w:val="clear" w:color="auto" w:fill="auto"/>
            <w:vAlign w:val="center"/>
          </w:tcPr>
          <w:p w14:paraId="5F4EED39">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功能要求</w:t>
            </w:r>
          </w:p>
        </w:tc>
        <w:tc>
          <w:tcPr>
            <w:tcW w:w="729" w:type="pct"/>
            <w:shd w:val="clear" w:color="auto" w:fill="auto"/>
            <w:vAlign w:val="center"/>
          </w:tcPr>
          <w:p w14:paraId="71EF8AA8">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网络功能</w:t>
            </w:r>
          </w:p>
        </w:tc>
        <w:tc>
          <w:tcPr>
            <w:tcW w:w="1341" w:type="pct"/>
            <w:shd w:val="clear" w:color="auto" w:fill="auto"/>
            <w:vAlign w:val="center"/>
          </w:tcPr>
          <w:p w14:paraId="0DA73EE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★网络功能</w:t>
            </w:r>
          </w:p>
        </w:tc>
        <w:tc>
          <w:tcPr>
            <w:tcW w:w="2177" w:type="pct"/>
            <w:shd w:val="clear" w:color="auto" w:fill="auto"/>
            <w:vAlign w:val="center"/>
          </w:tcPr>
          <w:p w14:paraId="6424DEBC">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支持网络连接、网络访问、数据交换和网络管控功能</w:t>
            </w:r>
          </w:p>
        </w:tc>
      </w:tr>
      <w:tr w14:paraId="118F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76" w:type="dxa"/>
            <w:shd w:val="clear" w:color="auto" w:fill="auto"/>
            <w:vAlign w:val="center"/>
          </w:tcPr>
          <w:p w14:paraId="0E16C577">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53</w:t>
            </w:r>
          </w:p>
        </w:tc>
        <w:tc>
          <w:tcPr>
            <w:tcW w:w="513" w:type="pct"/>
            <w:shd w:val="clear" w:color="auto" w:fill="auto"/>
            <w:vAlign w:val="center"/>
          </w:tcPr>
          <w:p w14:paraId="1AA20C85">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功能要求</w:t>
            </w:r>
          </w:p>
        </w:tc>
        <w:tc>
          <w:tcPr>
            <w:tcW w:w="729" w:type="pct"/>
            <w:vMerge w:val="restart"/>
            <w:shd w:val="clear" w:color="auto" w:fill="auto"/>
            <w:vAlign w:val="center"/>
          </w:tcPr>
          <w:p w14:paraId="55C71D30">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CPU功能</w:t>
            </w:r>
          </w:p>
        </w:tc>
        <w:tc>
          <w:tcPr>
            <w:tcW w:w="1341" w:type="pct"/>
            <w:shd w:val="clear" w:color="auto" w:fill="auto"/>
            <w:vAlign w:val="center"/>
          </w:tcPr>
          <w:p w14:paraId="52B7903B">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★计算处理</w:t>
            </w:r>
          </w:p>
        </w:tc>
        <w:tc>
          <w:tcPr>
            <w:tcW w:w="2177" w:type="pct"/>
            <w:shd w:val="clear" w:color="auto" w:fill="auto"/>
            <w:vAlign w:val="center"/>
          </w:tcPr>
          <w:p w14:paraId="67250072">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支持通用计算及虚拟化功能。处理器需集成整型计算单元、浮点计算单元、内存控制器、I/O模块等，处理器与存储部件、网络部件 、I/O 部件等组成计算系统，提供数据处理、网络接入等计算相关功能</w:t>
            </w:r>
          </w:p>
        </w:tc>
      </w:tr>
      <w:tr w14:paraId="5AB1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6" w:type="dxa"/>
            <w:shd w:val="clear" w:color="auto" w:fill="auto"/>
            <w:vAlign w:val="center"/>
          </w:tcPr>
          <w:p w14:paraId="3806AE0A">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54</w:t>
            </w:r>
          </w:p>
        </w:tc>
        <w:tc>
          <w:tcPr>
            <w:tcW w:w="513" w:type="pct"/>
            <w:shd w:val="clear" w:color="auto" w:fill="auto"/>
            <w:vAlign w:val="center"/>
          </w:tcPr>
          <w:p w14:paraId="734F7FBC">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功能要求</w:t>
            </w:r>
          </w:p>
        </w:tc>
        <w:tc>
          <w:tcPr>
            <w:tcW w:w="729" w:type="pct"/>
            <w:vMerge w:val="continue"/>
            <w:vAlign w:val="center"/>
          </w:tcPr>
          <w:p w14:paraId="4BE441C9">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0EBCAAD8">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★密码算法实现</w:t>
            </w:r>
          </w:p>
        </w:tc>
        <w:tc>
          <w:tcPr>
            <w:tcW w:w="2177" w:type="pct"/>
            <w:shd w:val="clear" w:color="auto" w:fill="auto"/>
            <w:vAlign w:val="center"/>
          </w:tcPr>
          <w:p w14:paraId="76F2C661">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CPU芯片内置密码模块或密码协处理器，可实现SM2、SM3和SM4国密算法的硬件加速</w:t>
            </w:r>
          </w:p>
        </w:tc>
      </w:tr>
      <w:tr w14:paraId="7C94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64BBC1BF">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55</w:t>
            </w:r>
          </w:p>
        </w:tc>
        <w:tc>
          <w:tcPr>
            <w:tcW w:w="513" w:type="pct"/>
            <w:shd w:val="clear" w:color="auto" w:fill="auto"/>
            <w:vAlign w:val="center"/>
          </w:tcPr>
          <w:p w14:paraId="12049A80">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功能要求</w:t>
            </w:r>
          </w:p>
        </w:tc>
        <w:tc>
          <w:tcPr>
            <w:tcW w:w="729" w:type="pct"/>
            <w:vMerge w:val="restart"/>
            <w:shd w:val="clear" w:color="auto" w:fill="auto"/>
            <w:vAlign w:val="center"/>
          </w:tcPr>
          <w:p w14:paraId="55A7D95F">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存储功能</w:t>
            </w:r>
          </w:p>
        </w:tc>
        <w:tc>
          <w:tcPr>
            <w:tcW w:w="1341" w:type="pct"/>
            <w:shd w:val="clear" w:color="auto" w:fill="auto"/>
            <w:vAlign w:val="center"/>
          </w:tcPr>
          <w:p w14:paraId="234AE62F">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内存校验</w:t>
            </w:r>
          </w:p>
        </w:tc>
        <w:tc>
          <w:tcPr>
            <w:tcW w:w="2177" w:type="pct"/>
            <w:shd w:val="clear" w:color="auto" w:fill="auto"/>
            <w:vAlign w:val="center"/>
          </w:tcPr>
          <w:p w14:paraId="0B6D564B">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支持内存校验或内存增强型纠错功能</w:t>
            </w:r>
          </w:p>
        </w:tc>
      </w:tr>
      <w:tr w14:paraId="049D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5E1E865E">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56</w:t>
            </w:r>
          </w:p>
        </w:tc>
        <w:tc>
          <w:tcPr>
            <w:tcW w:w="513" w:type="pct"/>
            <w:shd w:val="clear" w:color="auto" w:fill="auto"/>
            <w:vAlign w:val="center"/>
          </w:tcPr>
          <w:p w14:paraId="54159CCA">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功能要求</w:t>
            </w:r>
          </w:p>
        </w:tc>
        <w:tc>
          <w:tcPr>
            <w:tcW w:w="729" w:type="pct"/>
            <w:vMerge w:val="continue"/>
            <w:vAlign w:val="center"/>
          </w:tcPr>
          <w:p w14:paraId="5C2CC6A6">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3CCDC345">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SATA SSD NAND健康状态上报</w:t>
            </w:r>
          </w:p>
        </w:tc>
        <w:tc>
          <w:tcPr>
            <w:tcW w:w="2177" w:type="pct"/>
            <w:shd w:val="clear" w:color="auto" w:fill="auto"/>
            <w:vAlign w:val="center"/>
          </w:tcPr>
          <w:p w14:paraId="3CC8F64C">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不涉及</w:t>
            </w:r>
          </w:p>
        </w:tc>
      </w:tr>
      <w:tr w14:paraId="147A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2DF6D5BA">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57</w:t>
            </w:r>
          </w:p>
        </w:tc>
        <w:tc>
          <w:tcPr>
            <w:tcW w:w="513" w:type="pct"/>
            <w:shd w:val="clear" w:color="auto" w:fill="auto"/>
            <w:vAlign w:val="center"/>
          </w:tcPr>
          <w:p w14:paraId="7172037B">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功能要求</w:t>
            </w:r>
          </w:p>
        </w:tc>
        <w:tc>
          <w:tcPr>
            <w:tcW w:w="729" w:type="pct"/>
            <w:vMerge w:val="continue"/>
            <w:vAlign w:val="center"/>
          </w:tcPr>
          <w:p w14:paraId="3DFC6764">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17173BC6">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SATA SSD单die故障隔离</w:t>
            </w:r>
          </w:p>
        </w:tc>
        <w:tc>
          <w:tcPr>
            <w:tcW w:w="2177" w:type="pct"/>
            <w:shd w:val="clear" w:color="auto" w:fill="auto"/>
            <w:vAlign w:val="center"/>
          </w:tcPr>
          <w:p w14:paraId="715CE99A">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不涉及</w:t>
            </w:r>
          </w:p>
        </w:tc>
      </w:tr>
      <w:tr w14:paraId="5DDF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41858AEA">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58</w:t>
            </w:r>
          </w:p>
        </w:tc>
        <w:tc>
          <w:tcPr>
            <w:tcW w:w="513" w:type="pct"/>
            <w:shd w:val="clear" w:color="auto" w:fill="auto"/>
            <w:vAlign w:val="center"/>
          </w:tcPr>
          <w:p w14:paraId="3B2F1D1B">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功能要求</w:t>
            </w:r>
          </w:p>
        </w:tc>
        <w:tc>
          <w:tcPr>
            <w:tcW w:w="729" w:type="pct"/>
            <w:vMerge w:val="restart"/>
            <w:shd w:val="clear" w:color="auto" w:fill="auto"/>
            <w:vAlign w:val="center"/>
          </w:tcPr>
          <w:p w14:paraId="197C7671">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RAID 卡功能(若支持 RAID卡)</w:t>
            </w:r>
          </w:p>
        </w:tc>
        <w:tc>
          <w:tcPr>
            <w:tcW w:w="1341" w:type="pct"/>
            <w:shd w:val="clear" w:color="auto" w:fill="auto"/>
            <w:vAlign w:val="center"/>
          </w:tcPr>
          <w:p w14:paraId="56D89A8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RAID卡RAID级别支持</w:t>
            </w:r>
          </w:p>
        </w:tc>
        <w:tc>
          <w:tcPr>
            <w:tcW w:w="2177" w:type="pct"/>
            <w:shd w:val="clear" w:color="auto" w:fill="auto"/>
            <w:vAlign w:val="center"/>
          </w:tcPr>
          <w:p w14:paraId="4EACFFD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不涉及</w:t>
            </w:r>
          </w:p>
        </w:tc>
      </w:tr>
      <w:tr w14:paraId="467FF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6886EC98">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59</w:t>
            </w:r>
          </w:p>
        </w:tc>
        <w:tc>
          <w:tcPr>
            <w:tcW w:w="513" w:type="pct"/>
            <w:shd w:val="clear" w:color="auto" w:fill="auto"/>
            <w:vAlign w:val="center"/>
          </w:tcPr>
          <w:p w14:paraId="1B2F7AF5">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功能要求</w:t>
            </w:r>
          </w:p>
        </w:tc>
        <w:tc>
          <w:tcPr>
            <w:tcW w:w="729" w:type="pct"/>
            <w:vMerge w:val="continue"/>
            <w:vAlign w:val="center"/>
          </w:tcPr>
          <w:p w14:paraId="078CC686">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3EA8BB0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RAID 卡 BBU 单元</w:t>
            </w:r>
          </w:p>
        </w:tc>
        <w:tc>
          <w:tcPr>
            <w:tcW w:w="2177" w:type="pct"/>
            <w:shd w:val="clear" w:color="auto" w:fill="auto"/>
            <w:vAlign w:val="center"/>
          </w:tcPr>
          <w:p w14:paraId="6A1BC5CB">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不涉及</w:t>
            </w:r>
          </w:p>
        </w:tc>
      </w:tr>
      <w:tr w14:paraId="799B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6" w:type="dxa"/>
            <w:shd w:val="clear" w:color="auto" w:fill="auto"/>
            <w:vAlign w:val="center"/>
          </w:tcPr>
          <w:p w14:paraId="37206790">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60</w:t>
            </w:r>
          </w:p>
        </w:tc>
        <w:tc>
          <w:tcPr>
            <w:tcW w:w="513" w:type="pct"/>
            <w:shd w:val="clear" w:color="auto" w:fill="auto"/>
            <w:vAlign w:val="center"/>
          </w:tcPr>
          <w:p w14:paraId="7131CC56">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功能要求</w:t>
            </w:r>
          </w:p>
        </w:tc>
        <w:tc>
          <w:tcPr>
            <w:tcW w:w="729" w:type="pct"/>
            <w:shd w:val="clear" w:color="auto" w:fill="auto"/>
            <w:vAlign w:val="center"/>
          </w:tcPr>
          <w:p w14:paraId="1E78F4F5">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光驱功能</w:t>
            </w:r>
          </w:p>
        </w:tc>
        <w:tc>
          <w:tcPr>
            <w:tcW w:w="1341" w:type="pct"/>
            <w:shd w:val="clear" w:color="auto" w:fill="auto"/>
            <w:vAlign w:val="center"/>
          </w:tcPr>
          <w:p w14:paraId="215A1C45">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光驱类型（是否支持RW，以及光盘类型CD/DVD）</w:t>
            </w:r>
          </w:p>
        </w:tc>
        <w:tc>
          <w:tcPr>
            <w:tcW w:w="2177" w:type="pct"/>
            <w:shd w:val="clear" w:color="auto" w:fill="auto"/>
            <w:vAlign w:val="center"/>
          </w:tcPr>
          <w:p w14:paraId="18FB3E90">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支持外置 USB 光驱</w:t>
            </w:r>
          </w:p>
        </w:tc>
      </w:tr>
      <w:tr w14:paraId="30FD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6A7A414F">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61</w:t>
            </w:r>
          </w:p>
        </w:tc>
        <w:tc>
          <w:tcPr>
            <w:tcW w:w="513" w:type="pct"/>
            <w:shd w:val="clear" w:color="auto" w:fill="auto"/>
            <w:vAlign w:val="center"/>
          </w:tcPr>
          <w:p w14:paraId="6F286A02">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功能要求</w:t>
            </w:r>
          </w:p>
        </w:tc>
        <w:tc>
          <w:tcPr>
            <w:tcW w:w="729" w:type="pct"/>
            <w:vMerge w:val="restart"/>
            <w:shd w:val="clear" w:color="auto" w:fill="auto"/>
            <w:vAlign w:val="center"/>
          </w:tcPr>
          <w:p w14:paraId="7C77C7A8">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电源功能</w:t>
            </w:r>
          </w:p>
        </w:tc>
        <w:tc>
          <w:tcPr>
            <w:tcW w:w="1341" w:type="pct"/>
            <w:shd w:val="clear" w:color="auto" w:fill="auto"/>
            <w:vAlign w:val="center"/>
          </w:tcPr>
          <w:p w14:paraId="1A337ED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★电源热插拔</w:t>
            </w:r>
          </w:p>
        </w:tc>
        <w:tc>
          <w:tcPr>
            <w:tcW w:w="2177" w:type="pct"/>
            <w:shd w:val="clear" w:color="auto" w:fill="auto"/>
            <w:vAlign w:val="center"/>
          </w:tcPr>
          <w:p w14:paraId="44955C2A">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整机电源模块应具备热插拔功能</w:t>
            </w:r>
          </w:p>
        </w:tc>
      </w:tr>
      <w:tr w14:paraId="11B6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09137083">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62</w:t>
            </w:r>
          </w:p>
        </w:tc>
        <w:tc>
          <w:tcPr>
            <w:tcW w:w="513" w:type="pct"/>
            <w:shd w:val="clear" w:color="auto" w:fill="auto"/>
            <w:vAlign w:val="center"/>
          </w:tcPr>
          <w:p w14:paraId="49CFF45B">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功能要求</w:t>
            </w:r>
          </w:p>
        </w:tc>
        <w:tc>
          <w:tcPr>
            <w:tcW w:w="729" w:type="pct"/>
            <w:vMerge w:val="continue"/>
            <w:vAlign w:val="center"/>
          </w:tcPr>
          <w:p w14:paraId="49DE2BB0">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6B3ED69A">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★电源过流保护</w:t>
            </w:r>
          </w:p>
        </w:tc>
        <w:tc>
          <w:tcPr>
            <w:tcW w:w="2177" w:type="pct"/>
            <w:shd w:val="clear" w:color="auto" w:fill="auto"/>
            <w:vAlign w:val="center"/>
          </w:tcPr>
          <w:p w14:paraId="64BBBFB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支持过流及短路保护的功能</w:t>
            </w:r>
          </w:p>
        </w:tc>
      </w:tr>
      <w:tr w14:paraId="1639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2825B97B">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63</w:t>
            </w:r>
          </w:p>
        </w:tc>
        <w:tc>
          <w:tcPr>
            <w:tcW w:w="513" w:type="pct"/>
            <w:shd w:val="clear" w:color="auto" w:fill="auto"/>
            <w:vAlign w:val="center"/>
          </w:tcPr>
          <w:p w14:paraId="4A495E5A">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功能要求</w:t>
            </w:r>
          </w:p>
        </w:tc>
        <w:tc>
          <w:tcPr>
            <w:tcW w:w="729" w:type="pct"/>
            <w:vMerge w:val="restart"/>
            <w:shd w:val="clear" w:color="auto" w:fill="auto"/>
            <w:vAlign w:val="center"/>
          </w:tcPr>
          <w:p w14:paraId="7BB58526">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整机功能</w:t>
            </w:r>
          </w:p>
        </w:tc>
        <w:tc>
          <w:tcPr>
            <w:tcW w:w="1341" w:type="pct"/>
            <w:shd w:val="clear" w:color="auto" w:fill="auto"/>
            <w:vAlign w:val="center"/>
          </w:tcPr>
          <w:p w14:paraId="7DC1F691">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★散热方式</w:t>
            </w:r>
          </w:p>
        </w:tc>
        <w:tc>
          <w:tcPr>
            <w:tcW w:w="2177" w:type="pct"/>
            <w:shd w:val="clear" w:color="auto" w:fill="auto"/>
            <w:vAlign w:val="center"/>
          </w:tcPr>
          <w:p w14:paraId="151D0AF2">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支持风冷或液冷等散热方式</w:t>
            </w:r>
          </w:p>
        </w:tc>
      </w:tr>
      <w:tr w14:paraId="7B31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3AC422BE">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64</w:t>
            </w:r>
          </w:p>
        </w:tc>
        <w:tc>
          <w:tcPr>
            <w:tcW w:w="513" w:type="pct"/>
            <w:shd w:val="clear" w:color="auto" w:fill="auto"/>
            <w:vAlign w:val="center"/>
          </w:tcPr>
          <w:p w14:paraId="1175A42D">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功能要求</w:t>
            </w:r>
          </w:p>
        </w:tc>
        <w:tc>
          <w:tcPr>
            <w:tcW w:w="729" w:type="pct"/>
            <w:vMerge w:val="continue"/>
            <w:vAlign w:val="center"/>
          </w:tcPr>
          <w:p w14:paraId="6927FAF5">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3DD3741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其他功能</w:t>
            </w:r>
          </w:p>
        </w:tc>
        <w:tc>
          <w:tcPr>
            <w:tcW w:w="2177" w:type="pct"/>
            <w:shd w:val="clear" w:color="auto" w:fill="auto"/>
            <w:vAlign w:val="center"/>
          </w:tcPr>
          <w:p w14:paraId="7418EC65">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支持关键部件冗余（包括电源、风扇等）；</w:t>
            </w:r>
          </w:p>
        </w:tc>
      </w:tr>
      <w:tr w14:paraId="62F7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0" w:hRule="atLeast"/>
        </w:trPr>
        <w:tc>
          <w:tcPr>
            <w:tcW w:w="576" w:type="dxa"/>
            <w:shd w:val="clear" w:color="auto" w:fill="auto"/>
            <w:vAlign w:val="center"/>
          </w:tcPr>
          <w:p w14:paraId="3F1EF888">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65</w:t>
            </w:r>
          </w:p>
        </w:tc>
        <w:tc>
          <w:tcPr>
            <w:tcW w:w="513" w:type="pct"/>
            <w:shd w:val="clear" w:color="auto" w:fill="auto"/>
            <w:vAlign w:val="center"/>
          </w:tcPr>
          <w:p w14:paraId="223147DC">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功能要求</w:t>
            </w:r>
          </w:p>
        </w:tc>
        <w:tc>
          <w:tcPr>
            <w:tcW w:w="729" w:type="pct"/>
            <w:vMerge w:val="restart"/>
            <w:shd w:val="clear" w:color="auto" w:fill="auto"/>
            <w:vAlign w:val="center"/>
          </w:tcPr>
          <w:p w14:paraId="579E7D3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管理系统功能</w:t>
            </w:r>
          </w:p>
        </w:tc>
        <w:tc>
          <w:tcPr>
            <w:tcW w:w="1341" w:type="pct"/>
            <w:shd w:val="clear" w:color="auto" w:fill="auto"/>
            <w:vAlign w:val="center"/>
          </w:tcPr>
          <w:p w14:paraId="76368CF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★BMC 固件基础功能</w:t>
            </w:r>
          </w:p>
        </w:tc>
        <w:tc>
          <w:tcPr>
            <w:tcW w:w="2177" w:type="pct"/>
            <w:shd w:val="clear" w:color="auto" w:fill="auto"/>
            <w:vAlign w:val="center"/>
          </w:tcPr>
          <w:p w14:paraId="25CA7503">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1)支持 DHCP设置网络功能；2)支持静态IP设置网络功能；3)支持设备日志记录，包括但不限于登录日志、操作日志和报警日志等功能；4)支持日志信息导出和记录删除功能；5)支持通过管理接口向外输出准确的报警信息功能；6)设备的BMC管理软件应能够按报警的严重程度进行区分；7)支持IPMI2.0、SNMP或Redfish  等接口功能；8)支持键盘、鼠标和视频的重定向、文本控制台的重定向、远程虚拟媒体、高可靠的硬件监控和管理功能；9)支持基于网络开启、关闭和重启设备的功能，并查询当前设备开机运行状态；10)支持故障提示功能， 并可通过接口读取服务器故障信息；11)支持基于网络的固件更新功能，包括 BMC和BIOS等；12)支持基于网络安装操作系统的功能，并可通过网络控制台访问设备；13)支持通过本地的硬盘或光驱等存储设备，基于网络完成设备的操作系统安装功能；14)支持通过浏览器打开管理界面并登录功能；15)支持设置口令策略功能；16)支持访问权限设置功能，并通过日志记录访问事件；17)支持对出厂默认的用户名及口令进行安全保护功能，并提供默认口令修改提示；18)支持读取设备主板的工作环境温度功能；19)支持读取服务器 CPU等核心器件的温度功能；20)支持通过外部管理工具进行BMC参数设置的功能，并可基于网络通过外部管理工具对BMC进行管理；21)应支持固件版本查询、固件升级22)支持基于网络实现开关机和复位控制的功能；23)BMC启动时间应不超过180s，实现功能包括网络、IPMI、散热、传感器服务可用；24)支持BMC固件设置的恢复出厂功能</w:t>
            </w:r>
          </w:p>
        </w:tc>
      </w:tr>
      <w:tr w14:paraId="64CE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76" w:type="dxa"/>
            <w:shd w:val="clear" w:color="auto" w:fill="auto"/>
            <w:vAlign w:val="center"/>
          </w:tcPr>
          <w:p w14:paraId="5542908D">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66</w:t>
            </w:r>
          </w:p>
        </w:tc>
        <w:tc>
          <w:tcPr>
            <w:tcW w:w="513" w:type="pct"/>
            <w:shd w:val="clear" w:color="auto" w:fill="auto"/>
            <w:vAlign w:val="center"/>
          </w:tcPr>
          <w:p w14:paraId="75B041EB">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功能要求</w:t>
            </w:r>
          </w:p>
        </w:tc>
        <w:tc>
          <w:tcPr>
            <w:tcW w:w="729" w:type="pct"/>
            <w:vMerge w:val="continue"/>
            <w:vAlign w:val="center"/>
          </w:tcPr>
          <w:p w14:paraId="05DDC644">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280BD5C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BMC 固件增强功能</w:t>
            </w:r>
          </w:p>
        </w:tc>
        <w:tc>
          <w:tcPr>
            <w:tcW w:w="2177" w:type="pct"/>
            <w:shd w:val="clear" w:color="auto" w:fill="auto"/>
            <w:vAlign w:val="center"/>
          </w:tcPr>
          <w:p w14:paraId="6914FA2C">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a）网络控制、安装提供图形访问界面网络；b）设备的BMC管理软件界面显示报警信息，且能够按报警的严重程度进行区分；c）WebGUI采用BMC端口直连，平均响应时间为不大于1s</w:t>
            </w:r>
          </w:p>
        </w:tc>
      </w:tr>
      <w:tr w14:paraId="28C6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trPr>
        <w:tc>
          <w:tcPr>
            <w:tcW w:w="576" w:type="dxa"/>
            <w:shd w:val="clear" w:color="auto" w:fill="auto"/>
            <w:vAlign w:val="center"/>
          </w:tcPr>
          <w:p w14:paraId="5CD5503B">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67</w:t>
            </w:r>
          </w:p>
        </w:tc>
        <w:tc>
          <w:tcPr>
            <w:tcW w:w="513" w:type="pct"/>
            <w:shd w:val="clear" w:color="auto" w:fill="auto"/>
            <w:vAlign w:val="center"/>
          </w:tcPr>
          <w:p w14:paraId="7E73C9F6">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功能要求</w:t>
            </w:r>
          </w:p>
        </w:tc>
        <w:tc>
          <w:tcPr>
            <w:tcW w:w="729" w:type="pct"/>
            <w:vMerge w:val="continue"/>
            <w:vAlign w:val="center"/>
          </w:tcPr>
          <w:p w14:paraId="3B17DD1A">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1D89F64E">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★BIOS固件基础功能</w:t>
            </w:r>
          </w:p>
        </w:tc>
        <w:tc>
          <w:tcPr>
            <w:tcW w:w="2177" w:type="pct"/>
            <w:shd w:val="clear" w:color="auto" w:fill="auto"/>
            <w:vAlign w:val="center"/>
          </w:tcPr>
          <w:p w14:paraId="50BAC93B">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a）支持查看固件版本、内存信息、主板信息、处理器信息和系统时间信息功能；b）支持上电初始化界面显示CPU信息、内存信息、固件版本和部分快捷键信息功能；c）支持设置界面中英文显示切换功能；d）支持查看PCIe设备信息，SATA设备信息功能；e）支持操作系统安装和引导功能，应并向操作系统提供计算机主板信息和服务接口；f）支持设置启动顺序，并按照设置的启动顺序启动功能；g）支持安全启动功能；h）支持设置口令、修改口令、验证口令功能；i）支持板载显示控制或独立显卡的显示控制功能；j）支持RAID识别和启动功能；k）支持串口重定向功能；l）支持固件更新功能；m）支持BIOS固件设置的恢复出厂功能；n）支持网络引导启用和关闭功能</w:t>
            </w:r>
          </w:p>
        </w:tc>
      </w:tr>
      <w:tr w14:paraId="5A21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68F83C5C">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68</w:t>
            </w:r>
          </w:p>
        </w:tc>
        <w:tc>
          <w:tcPr>
            <w:tcW w:w="513" w:type="pct"/>
            <w:shd w:val="clear" w:color="auto" w:fill="auto"/>
            <w:vAlign w:val="center"/>
          </w:tcPr>
          <w:p w14:paraId="163088BD">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功能要求</w:t>
            </w:r>
          </w:p>
        </w:tc>
        <w:tc>
          <w:tcPr>
            <w:tcW w:w="729" w:type="pct"/>
            <w:vMerge w:val="continue"/>
            <w:vAlign w:val="center"/>
          </w:tcPr>
          <w:p w14:paraId="5EFA830A">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4B82024E">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★远程控制</w:t>
            </w:r>
          </w:p>
        </w:tc>
        <w:tc>
          <w:tcPr>
            <w:tcW w:w="2177" w:type="pct"/>
            <w:shd w:val="clear" w:color="auto" w:fill="auto"/>
            <w:vAlign w:val="center"/>
          </w:tcPr>
          <w:p w14:paraId="559F44D9">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支持远程关机和重新启动功能</w:t>
            </w:r>
          </w:p>
        </w:tc>
      </w:tr>
      <w:tr w14:paraId="7517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6" w:type="dxa"/>
            <w:shd w:val="clear" w:color="auto" w:fill="auto"/>
            <w:vAlign w:val="center"/>
          </w:tcPr>
          <w:p w14:paraId="44430639">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69</w:t>
            </w:r>
          </w:p>
        </w:tc>
        <w:tc>
          <w:tcPr>
            <w:tcW w:w="513" w:type="pct"/>
            <w:shd w:val="clear" w:color="auto" w:fill="auto"/>
            <w:vAlign w:val="center"/>
          </w:tcPr>
          <w:p w14:paraId="5A528A4D">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功能要求</w:t>
            </w:r>
          </w:p>
        </w:tc>
        <w:tc>
          <w:tcPr>
            <w:tcW w:w="729" w:type="pct"/>
            <w:shd w:val="clear" w:color="auto" w:fill="auto"/>
            <w:vAlign w:val="center"/>
          </w:tcPr>
          <w:p w14:paraId="2B90A4C2">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操作系统</w:t>
            </w:r>
          </w:p>
        </w:tc>
        <w:tc>
          <w:tcPr>
            <w:tcW w:w="1341" w:type="pct"/>
            <w:shd w:val="clear" w:color="auto" w:fill="auto"/>
            <w:vAlign w:val="center"/>
          </w:tcPr>
          <w:p w14:paraId="670D78D2">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★操作系统及驱动的升级</w:t>
            </w:r>
          </w:p>
        </w:tc>
        <w:tc>
          <w:tcPr>
            <w:tcW w:w="2177" w:type="pct"/>
            <w:shd w:val="clear" w:color="auto" w:fill="auto"/>
            <w:vAlign w:val="center"/>
          </w:tcPr>
          <w:p w14:paraId="0AE10209">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支持通过网络、闪存盘对操作系统，驱动进行升级。</w:t>
            </w:r>
          </w:p>
        </w:tc>
      </w:tr>
      <w:tr w14:paraId="08AC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2AA3B0E8">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70</w:t>
            </w:r>
          </w:p>
        </w:tc>
        <w:tc>
          <w:tcPr>
            <w:tcW w:w="513" w:type="pct"/>
            <w:shd w:val="clear" w:color="auto" w:fill="auto"/>
            <w:vAlign w:val="center"/>
          </w:tcPr>
          <w:p w14:paraId="64C686ED">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功能要求</w:t>
            </w:r>
          </w:p>
        </w:tc>
        <w:tc>
          <w:tcPr>
            <w:tcW w:w="729" w:type="pct"/>
            <w:shd w:val="clear" w:color="auto" w:fill="auto"/>
            <w:vAlign w:val="center"/>
          </w:tcPr>
          <w:p w14:paraId="2F33195A">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及驱动功</w:t>
            </w:r>
          </w:p>
        </w:tc>
        <w:tc>
          <w:tcPr>
            <w:tcW w:w="1341" w:type="pct"/>
            <w:shd w:val="clear" w:color="auto" w:fill="auto"/>
            <w:vAlign w:val="center"/>
          </w:tcPr>
          <w:p w14:paraId="566050B5">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操作系统及驱动的备份还原</w:t>
            </w:r>
          </w:p>
        </w:tc>
        <w:tc>
          <w:tcPr>
            <w:tcW w:w="2177" w:type="pct"/>
            <w:shd w:val="clear" w:color="auto" w:fill="auto"/>
            <w:vAlign w:val="center"/>
          </w:tcPr>
          <w:p w14:paraId="480526BD">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支持通过第三方软件进行操作系统备份及还原功能</w:t>
            </w:r>
          </w:p>
        </w:tc>
      </w:tr>
      <w:tr w14:paraId="0321A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4B4534AF">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71</w:t>
            </w:r>
          </w:p>
        </w:tc>
        <w:tc>
          <w:tcPr>
            <w:tcW w:w="513" w:type="pct"/>
            <w:shd w:val="clear" w:color="auto" w:fill="auto"/>
            <w:vAlign w:val="center"/>
          </w:tcPr>
          <w:p w14:paraId="39030A72">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功能要求</w:t>
            </w:r>
          </w:p>
        </w:tc>
        <w:tc>
          <w:tcPr>
            <w:tcW w:w="729" w:type="pct"/>
            <w:shd w:val="clear" w:color="auto" w:fill="auto"/>
            <w:vAlign w:val="center"/>
          </w:tcPr>
          <w:p w14:paraId="44B48E55">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能</w:t>
            </w:r>
          </w:p>
        </w:tc>
        <w:tc>
          <w:tcPr>
            <w:tcW w:w="1341" w:type="pct"/>
            <w:shd w:val="clear" w:color="auto" w:fill="auto"/>
            <w:vAlign w:val="center"/>
          </w:tcPr>
          <w:p w14:paraId="5DC5215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★操作系统功能</w:t>
            </w:r>
          </w:p>
        </w:tc>
        <w:tc>
          <w:tcPr>
            <w:tcW w:w="2177" w:type="pct"/>
            <w:shd w:val="clear" w:color="auto" w:fill="auto"/>
            <w:vAlign w:val="center"/>
          </w:tcPr>
          <w:p w14:paraId="6E9C742C">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支持访问控制、安全审计、网络接入鉴别等功能；</w:t>
            </w:r>
          </w:p>
        </w:tc>
      </w:tr>
      <w:tr w14:paraId="5E81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6" w:type="dxa"/>
            <w:shd w:val="clear" w:color="auto" w:fill="auto"/>
            <w:vAlign w:val="center"/>
          </w:tcPr>
          <w:p w14:paraId="3C4F3C73">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72</w:t>
            </w:r>
          </w:p>
        </w:tc>
        <w:tc>
          <w:tcPr>
            <w:tcW w:w="513" w:type="pct"/>
            <w:shd w:val="clear" w:color="auto" w:fill="auto"/>
            <w:vAlign w:val="center"/>
          </w:tcPr>
          <w:p w14:paraId="46CED8B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功能要求</w:t>
            </w:r>
          </w:p>
        </w:tc>
        <w:tc>
          <w:tcPr>
            <w:tcW w:w="729" w:type="pct"/>
            <w:shd w:val="clear" w:color="auto" w:fill="auto"/>
            <w:vAlign w:val="center"/>
          </w:tcPr>
          <w:p w14:paraId="085C427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中文信息</w:t>
            </w:r>
            <w:r>
              <w:rPr>
                <w:rFonts w:hint="eastAsia" w:ascii="宋体" w:hAnsi="宋体" w:cs="宋体"/>
                <w:color w:val="000000"/>
                <w:kern w:val="0"/>
                <w:szCs w:val="24"/>
                <w14:ligatures w14:val="none"/>
              </w:rPr>
              <w:br w:type="textWrapping"/>
            </w:r>
            <w:r>
              <w:rPr>
                <w:rFonts w:hint="eastAsia" w:ascii="宋体" w:hAnsi="宋体" w:cs="宋体"/>
                <w:color w:val="000000"/>
                <w:kern w:val="0"/>
                <w:szCs w:val="24"/>
                <w14:ligatures w14:val="none"/>
              </w:rPr>
              <w:t>处理功能</w:t>
            </w:r>
          </w:p>
        </w:tc>
        <w:tc>
          <w:tcPr>
            <w:tcW w:w="1341" w:type="pct"/>
            <w:shd w:val="clear" w:color="auto" w:fill="auto"/>
            <w:vAlign w:val="center"/>
          </w:tcPr>
          <w:p w14:paraId="566E973C">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★中文信息处理</w:t>
            </w:r>
          </w:p>
        </w:tc>
        <w:tc>
          <w:tcPr>
            <w:tcW w:w="2177" w:type="pct"/>
            <w:shd w:val="clear" w:color="auto" w:fill="auto"/>
            <w:vAlign w:val="center"/>
          </w:tcPr>
          <w:p w14:paraId="6BACC7FD">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符合GB18030的有关规定</w:t>
            </w:r>
          </w:p>
        </w:tc>
      </w:tr>
      <w:tr w14:paraId="3F94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1B5008C5">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73</w:t>
            </w:r>
          </w:p>
        </w:tc>
        <w:tc>
          <w:tcPr>
            <w:tcW w:w="513" w:type="pct"/>
            <w:shd w:val="clear" w:color="auto" w:fill="auto"/>
            <w:vAlign w:val="center"/>
          </w:tcPr>
          <w:p w14:paraId="686D3A71">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功能要求</w:t>
            </w:r>
          </w:p>
        </w:tc>
        <w:tc>
          <w:tcPr>
            <w:tcW w:w="729" w:type="pct"/>
            <w:vMerge w:val="restart"/>
            <w:shd w:val="clear" w:color="auto" w:fill="auto"/>
            <w:vAlign w:val="center"/>
          </w:tcPr>
          <w:p w14:paraId="4167E8D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机柜功能</w:t>
            </w:r>
          </w:p>
        </w:tc>
        <w:tc>
          <w:tcPr>
            <w:tcW w:w="1341" w:type="pct"/>
            <w:shd w:val="clear" w:color="auto" w:fill="auto"/>
            <w:vAlign w:val="center"/>
          </w:tcPr>
          <w:p w14:paraId="4A5BD672">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机柜管理功能</w:t>
            </w:r>
          </w:p>
        </w:tc>
        <w:tc>
          <w:tcPr>
            <w:tcW w:w="2177" w:type="pct"/>
            <w:shd w:val="clear" w:color="auto" w:fill="auto"/>
            <w:vAlign w:val="center"/>
          </w:tcPr>
          <w:p w14:paraId="403EAD8E">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不涉及</w:t>
            </w:r>
          </w:p>
        </w:tc>
      </w:tr>
      <w:tr w14:paraId="1A90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4E8C3979">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74</w:t>
            </w:r>
          </w:p>
        </w:tc>
        <w:tc>
          <w:tcPr>
            <w:tcW w:w="513" w:type="pct"/>
            <w:shd w:val="clear" w:color="auto" w:fill="auto"/>
            <w:vAlign w:val="center"/>
          </w:tcPr>
          <w:p w14:paraId="7485A6AE">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功能要求</w:t>
            </w:r>
          </w:p>
        </w:tc>
        <w:tc>
          <w:tcPr>
            <w:tcW w:w="729" w:type="pct"/>
            <w:vMerge w:val="continue"/>
            <w:vAlign w:val="center"/>
          </w:tcPr>
          <w:p w14:paraId="4658453D">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436521E2">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机柜通信方式</w:t>
            </w:r>
          </w:p>
        </w:tc>
        <w:tc>
          <w:tcPr>
            <w:tcW w:w="2177" w:type="pct"/>
            <w:shd w:val="clear" w:color="auto" w:fill="auto"/>
            <w:vAlign w:val="center"/>
          </w:tcPr>
          <w:p w14:paraId="19D1A416">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不涉及</w:t>
            </w:r>
          </w:p>
        </w:tc>
      </w:tr>
      <w:tr w14:paraId="47B6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36FD79B3">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75</w:t>
            </w:r>
          </w:p>
        </w:tc>
        <w:tc>
          <w:tcPr>
            <w:tcW w:w="513" w:type="pct"/>
            <w:shd w:val="clear" w:color="auto" w:fill="auto"/>
            <w:vAlign w:val="center"/>
          </w:tcPr>
          <w:p w14:paraId="35328EB0">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功能要求</w:t>
            </w:r>
          </w:p>
        </w:tc>
        <w:tc>
          <w:tcPr>
            <w:tcW w:w="729" w:type="pct"/>
            <w:vMerge w:val="continue"/>
            <w:vAlign w:val="center"/>
          </w:tcPr>
          <w:p w14:paraId="6F98B46D">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504EA62B">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多集群作业管理</w:t>
            </w:r>
          </w:p>
        </w:tc>
        <w:tc>
          <w:tcPr>
            <w:tcW w:w="2177" w:type="pct"/>
            <w:shd w:val="clear" w:color="auto" w:fill="auto"/>
            <w:vAlign w:val="center"/>
          </w:tcPr>
          <w:p w14:paraId="7449A11A">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不涉及</w:t>
            </w:r>
          </w:p>
        </w:tc>
      </w:tr>
      <w:tr w14:paraId="11DA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6" w:type="dxa"/>
            <w:shd w:val="clear" w:color="auto" w:fill="auto"/>
            <w:vAlign w:val="center"/>
          </w:tcPr>
          <w:p w14:paraId="3702595F">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76</w:t>
            </w:r>
          </w:p>
        </w:tc>
        <w:tc>
          <w:tcPr>
            <w:tcW w:w="513" w:type="pct"/>
            <w:shd w:val="clear" w:color="auto" w:fill="auto"/>
            <w:vAlign w:val="center"/>
          </w:tcPr>
          <w:p w14:paraId="702B5F96">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安全要求</w:t>
            </w:r>
          </w:p>
        </w:tc>
        <w:tc>
          <w:tcPr>
            <w:tcW w:w="729" w:type="pct"/>
            <w:shd w:val="clear" w:color="auto" w:fill="auto"/>
            <w:vAlign w:val="center"/>
          </w:tcPr>
          <w:p w14:paraId="4AFEE1AC">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关键部件安全要求</w:t>
            </w:r>
          </w:p>
        </w:tc>
        <w:tc>
          <w:tcPr>
            <w:tcW w:w="1341" w:type="pct"/>
            <w:shd w:val="clear" w:color="auto" w:fill="auto"/>
            <w:vAlign w:val="center"/>
          </w:tcPr>
          <w:p w14:paraId="2F2457C8">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★关键部件安全要求</w:t>
            </w:r>
          </w:p>
        </w:tc>
        <w:tc>
          <w:tcPr>
            <w:tcW w:w="2177" w:type="pct"/>
            <w:shd w:val="clear" w:color="auto" w:fill="auto"/>
            <w:vAlign w:val="center"/>
          </w:tcPr>
          <w:p w14:paraId="20485466">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CPU等关键部件应当符合安全可靠测评要求</w:t>
            </w:r>
          </w:p>
        </w:tc>
      </w:tr>
      <w:tr w14:paraId="36A8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6" w:type="dxa"/>
            <w:shd w:val="clear" w:color="auto" w:fill="auto"/>
            <w:vAlign w:val="center"/>
          </w:tcPr>
          <w:p w14:paraId="0625B738">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77</w:t>
            </w:r>
          </w:p>
        </w:tc>
        <w:tc>
          <w:tcPr>
            <w:tcW w:w="513" w:type="pct"/>
            <w:shd w:val="clear" w:color="auto" w:fill="auto"/>
            <w:vAlign w:val="center"/>
          </w:tcPr>
          <w:p w14:paraId="6FF2A32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安全要求</w:t>
            </w:r>
          </w:p>
        </w:tc>
        <w:tc>
          <w:tcPr>
            <w:tcW w:w="729" w:type="pct"/>
            <w:vMerge w:val="restart"/>
            <w:shd w:val="clear" w:color="auto" w:fill="auto"/>
            <w:vAlign w:val="center"/>
          </w:tcPr>
          <w:p w14:paraId="4A69F7C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固件安全要求</w:t>
            </w:r>
          </w:p>
        </w:tc>
        <w:tc>
          <w:tcPr>
            <w:tcW w:w="1341" w:type="pct"/>
            <w:shd w:val="clear" w:color="auto" w:fill="auto"/>
            <w:vAlign w:val="center"/>
          </w:tcPr>
          <w:p w14:paraId="5E5309EB">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★故障检测</w:t>
            </w:r>
          </w:p>
        </w:tc>
        <w:tc>
          <w:tcPr>
            <w:tcW w:w="2177" w:type="pct"/>
            <w:shd w:val="clear" w:color="auto" w:fill="auto"/>
            <w:vAlign w:val="center"/>
          </w:tcPr>
          <w:p w14:paraId="32B075E8">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支持故障检测功能，可以检测到具体的 FRU（内存、硬盘等）的故障并发出告警</w:t>
            </w:r>
          </w:p>
        </w:tc>
      </w:tr>
      <w:tr w14:paraId="34E8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76" w:type="dxa"/>
            <w:shd w:val="clear" w:color="auto" w:fill="auto"/>
            <w:vAlign w:val="center"/>
          </w:tcPr>
          <w:p w14:paraId="68911305">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78</w:t>
            </w:r>
          </w:p>
        </w:tc>
        <w:tc>
          <w:tcPr>
            <w:tcW w:w="513" w:type="pct"/>
            <w:shd w:val="clear" w:color="auto" w:fill="auto"/>
            <w:vAlign w:val="center"/>
          </w:tcPr>
          <w:p w14:paraId="2093A06D">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安全要求</w:t>
            </w:r>
          </w:p>
        </w:tc>
        <w:tc>
          <w:tcPr>
            <w:tcW w:w="729" w:type="pct"/>
            <w:vMerge w:val="continue"/>
            <w:vAlign w:val="center"/>
          </w:tcPr>
          <w:p w14:paraId="5A7E47DE">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3997FA6C">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内存故障智能预测和自愈修复</w:t>
            </w:r>
          </w:p>
        </w:tc>
        <w:tc>
          <w:tcPr>
            <w:tcW w:w="2177" w:type="pct"/>
            <w:shd w:val="clear" w:color="auto" w:fill="auto"/>
            <w:vAlign w:val="center"/>
          </w:tcPr>
          <w:p w14:paraId="166ED4DB">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支持内存故障智能预测和自愈修复，提前自动硬隔离，避免内存故障引起的非预期宕机以及内存寿命的降低</w:t>
            </w:r>
          </w:p>
        </w:tc>
      </w:tr>
      <w:tr w14:paraId="250DF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6" w:type="dxa"/>
            <w:shd w:val="clear" w:color="auto" w:fill="auto"/>
            <w:vAlign w:val="center"/>
          </w:tcPr>
          <w:p w14:paraId="5BF440DE">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79</w:t>
            </w:r>
          </w:p>
        </w:tc>
        <w:tc>
          <w:tcPr>
            <w:tcW w:w="513" w:type="pct"/>
            <w:shd w:val="clear" w:color="auto" w:fill="auto"/>
            <w:vAlign w:val="center"/>
          </w:tcPr>
          <w:p w14:paraId="44695A2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安全要求</w:t>
            </w:r>
          </w:p>
        </w:tc>
        <w:tc>
          <w:tcPr>
            <w:tcW w:w="729" w:type="pct"/>
            <w:vMerge w:val="continue"/>
            <w:vAlign w:val="center"/>
          </w:tcPr>
          <w:p w14:paraId="18B3FA96">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4BA1085C">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硬盘故障智能预测</w:t>
            </w:r>
          </w:p>
        </w:tc>
        <w:tc>
          <w:tcPr>
            <w:tcW w:w="2177" w:type="pct"/>
            <w:shd w:val="clear" w:color="auto" w:fill="auto"/>
            <w:vAlign w:val="center"/>
          </w:tcPr>
          <w:p w14:paraId="7BCA904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支持硬盘故障智能预测，基于故障模型预测出硬盘的故障</w:t>
            </w:r>
          </w:p>
        </w:tc>
      </w:tr>
      <w:tr w14:paraId="4C87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6" w:type="dxa"/>
            <w:shd w:val="clear" w:color="auto" w:fill="auto"/>
            <w:vAlign w:val="center"/>
          </w:tcPr>
          <w:p w14:paraId="2317123B">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80</w:t>
            </w:r>
          </w:p>
        </w:tc>
        <w:tc>
          <w:tcPr>
            <w:tcW w:w="513" w:type="pct"/>
            <w:shd w:val="clear" w:color="auto" w:fill="auto"/>
            <w:vAlign w:val="center"/>
          </w:tcPr>
          <w:p w14:paraId="4723295D">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安全要求</w:t>
            </w:r>
          </w:p>
        </w:tc>
        <w:tc>
          <w:tcPr>
            <w:tcW w:w="729" w:type="pct"/>
            <w:vMerge w:val="continue"/>
            <w:vAlign w:val="center"/>
          </w:tcPr>
          <w:p w14:paraId="2AF6BD03">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56BDE8F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PCIe 链路故障智能诊</w:t>
            </w:r>
            <w:r>
              <w:rPr>
                <w:rFonts w:hint="eastAsia" w:ascii="宋体" w:hAnsi="宋体" w:cs="宋体"/>
                <w:color w:val="000000"/>
                <w:kern w:val="0"/>
                <w:szCs w:val="24"/>
                <w14:ligatures w14:val="none"/>
              </w:rPr>
              <w:br w:type="textWrapping"/>
            </w:r>
            <w:r>
              <w:rPr>
                <w:rFonts w:hint="eastAsia" w:ascii="宋体" w:hAnsi="宋体" w:cs="宋体"/>
                <w:color w:val="000000"/>
                <w:kern w:val="0"/>
                <w:szCs w:val="24"/>
                <w14:ligatures w14:val="none"/>
              </w:rPr>
              <w:t>断</w:t>
            </w:r>
          </w:p>
        </w:tc>
        <w:tc>
          <w:tcPr>
            <w:tcW w:w="2177" w:type="pct"/>
            <w:shd w:val="clear" w:color="auto" w:fill="auto"/>
            <w:vAlign w:val="center"/>
          </w:tcPr>
          <w:p w14:paraId="4E9F3381">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支持PCIe链路故障智能诊断，判断出现故障的PCIe链路</w:t>
            </w:r>
          </w:p>
        </w:tc>
      </w:tr>
      <w:tr w14:paraId="1DF9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6" w:type="dxa"/>
            <w:shd w:val="clear" w:color="auto" w:fill="auto"/>
            <w:vAlign w:val="center"/>
          </w:tcPr>
          <w:p w14:paraId="109CC62C">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81</w:t>
            </w:r>
          </w:p>
        </w:tc>
        <w:tc>
          <w:tcPr>
            <w:tcW w:w="513" w:type="pct"/>
            <w:shd w:val="clear" w:color="auto" w:fill="auto"/>
            <w:vAlign w:val="center"/>
          </w:tcPr>
          <w:p w14:paraId="696B4D2A">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安全要求</w:t>
            </w:r>
          </w:p>
        </w:tc>
        <w:tc>
          <w:tcPr>
            <w:tcW w:w="729" w:type="pct"/>
            <w:vMerge w:val="continue"/>
            <w:vAlign w:val="center"/>
          </w:tcPr>
          <w:p w14:paraId="547C3387">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3BD191C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内存故障隔离</w:t>
            </w:r>
          </w:p>
        </w:tc>
        <w:tc>
          <w:tcPr>
            <w:tcW w:w="2177" w:type="pct"/>
            <w:shd w:val="clear" w:color="auto" w:fill="auto"/>
            <w:vAlign w:val="center"/>
          </w:tcPr>
          <w:p w14:paraId="71D1F03B">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支持内存故障隔离，在内存产生CE故障时，内存地址被隔离成功，服务器正常运行，业务系统不中断</w:t>
            </w:r>
          </w:p>
        </w:tc>
      </w:tr>
      <w:tr w14:paraId="2FC5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6" w:type="dxa"/>
            <w:shd w:val="clear" w:color="auto" w:fill="auto"/>
            <w:vAlign w:val="center"/>
          </w:tcPr>
          <w:p w14:paraId="19158BCB">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82</w:t>
            </w:r>
          </w:p>
        </w:tc>
        <w:tc>
          <w:tcPr>
            <w:tcW w:w="513" w:type="pct"/>
            <w:shd w:val="clear" w:color="auto" w:fill="auto"/>
            <w:vAlign w:val="center"/>
          </w:tcPr>
          <w:p w14:paraId="6AA0AD21">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安全要求</w:t>
            </w:r>
          </w:p>
        </w:tc>
        <w:tc>
          <w:tcPr>
            <w:tcW w:w="729" w:type="pct"/>
            <w:vMerge w:val="continue"/>
            <w:vAlign w:val="center"/>
          </w:tcPr>
          <w:p w14:paraId="311EC8A5">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05042CE0">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内存 、PCIe 卡的故障精准告警功能</w:t>
            </w:r>
          </w:p>
        </w:tc>
        <w:tc>
          <w:tcPr>
            <w:tcW w:w="2177" w:type="pct"/>
            <w:shd w:val="clear" w:color="auto" w:fill="auto"/>
            <w:vAlign w:val="center"/>
          </w:tcPr>
          <w:p w14:paraId="0C3A3311">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支持内存、PCIe卡的故障精准告警功能，触发告警并明确指示具体的故障位置</w:t>
            </w:r>
          </w:p>
        </w:tc>
      </w:tr>
      <w:tr w14:paraId="3876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6" w:type="dxa"/>
            <w:shd w:val="clear" w:color="auto" w:fill="auto"/>
            <w:vAlign w:val="center"/>
          </w:tcPr>
          <w:p w14:paraId="537C4E28">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83</w:t>
            </w:r>
          </w:p>
        </w:tc>
        <w:tc>
          <w:tcPr>
            <w:tcW w:w="513" w:type="pct"/>
            <w:shd w:val="clear" w:color="auto" w:fill="auto"/>
            <w:vAlign w:val="center"/>
          </w:tcPr>
          <w:p w14:paraId="62CF2A8C">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安全要求</w:t>
            </w:r>
          </w:p>
        </w:tc>
        <w:tc>
          <w:tcPr>
            <w:tcW w:w="729" w:type="pct"/>
            <w:vMerge w:val="continue"/>
            <w:vAlign w:val="center"/>
          </w:tcPr>
          <w:p w14:paraId="40A02AC8">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5B96000A">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异常下电关键数据保护</w:t>
            </w:r>
          </w:p>
        </w:tc>
        <w:tc>
          <w:tcPr>
            <w:tcW w:w="2177" w:type="pct"/>
            <w:shd w:val="clear" w:color="auto" w:fill="auto"/>
            <w:vAlign w:val="center"/>
          </w:tcPr>
          <w:p w14:paraId="248C611E">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支持异常下电关键数据保护，支持数据备份恢复机制，防止系统异常掉电导致的数据文件丢失</w:t>
            </w:r>
          </w:p>
        </w:tc>
      </w:tr>
      <w:tr w14:paraId="1D15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6" w:type="dxa"/>
            <w:shd w:val="clear" w:color="auto" w:fill="auto"/>
            <w:vAlign w:val="center"/>
          </w:tcPr>
          <w:p w14:paraId="346A52BA">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84</w:t>
            </w:r>
          </w:p>
        </w:tc>
        <w:tc>
          <w:tcPr>
            <w:tcW w:w="513" w:type="pct"/>
            <w:shd w:val="clear" w:color="auto" w:fill="auto"/>
            <w:vAlign w:val="center"/>
          </w:tcPr>
          <w:p w14:paraId="6DF477A5">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安全要求</w:t>
            </w:r>
          </w:p>
        </w:tc>
        <w:tc>
          <w:tcPr>
            <w:tcW w:w="729" w:type="pct"/>
            <w:vMerge w:val="continue"/>
            <w:vAlign w:val="center"/>
          </w:tcPr>
          <w:p w14:paraId="569ED91F">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26FC4E8F">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BMC/BIOS 固件双镜像保护</w:t>
            </w:r>
          </w:p>
        </w:tc>
        <w:tc>
          <w:tcPr>
            <w:tcW w:w="2177" w:type="pct"/>
            <w:shd w:val="clear" w:color="auto" w:fill="auto"/>
            <w:vAlign w:val="center"/>
          </w:tcPr>
          <w:p w14:paraId="385E84B0">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支持BMC/BIOS固件双镜像保护，运行异常时自动切换到备份镜像运行，提升系统稳定性</w:t>
            </w:r>
          </w:p>
        </w:tc>
      </w:tr>
      <w:tr w14:paraId="31E1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76" w:type="dxa"/>
            <w:shd w:val="clear" w:color="auto" w:fill="auto"/>
            <w:vAlign w:val="center"/>
          </w:tcPr>
          <w:p w14:paraId="502E011A">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85</w:t>
            </w:r>
          </w:p>
        </w:tc>
        <w:tc>
          <w:tcPr>
            <w:tcW w:w="513" w:type="pct"/>
            <w:shd w:val="clear" w:color="auto" w:fill="auto"/>
            <w:vAlign w:val="center"/>
          </w:tcPr>
          <w:p w14:paraId="0FED2C9F">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安全要求</w:t>
            </w:r>
          </w:p>
        </w:tc>
        <w:tc>
          <w:tcPr>
            <w:tcW w:w="729" w:type="pct"/>
            <w:vMerge w:val="continue"/>
            <w:vAlign w:val="center"/>
          </w:tcPr>
          <w:p w14:paraId="18D59200">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544ED35B">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CPU 核重启隔离</w:t>
            </w:r>
          </w:p>
        </w:tc>
        <w:tc>
          <w:tcPr>
            <w:tcW w:w="2177" w:type="pct"/>
            <w:shd w:val="clear" w:color="auto" w:fill="auto"/>
            <w:vAlign w:val="center"/>
          </w:tcPr>
          <w:p w14:paraId="6F0F1D3A">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支持CPU核发生不可纠正故障后，重启后由BIOS隔离该故障核，OS不可见，防止OS再次使用导致系统异常，核0除外</w:t>
            </w:r>
          </w:p>
        </w:tc>
      </w:tr>
      <w:tr w14:paraId="1B35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6" w:type="dxa"/>
            <w:shd w:val="clear" w:color="auto" w:fill="auto"/>
            <w:vAlign w:val="center"/>
          </w:tcPr>
          <w:p w14:paraId="2657BA44">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86</w:t>
            </w:r>
          </w:p>
        </w:tc>
        <w:tc>
          <w:tcPr>
            <w:tcW w:w="513" w:type="pct"/>
            <w:shd w:val="clear" w:color="auto" w:fill="auto"/>
            <w:vAlign w:val="center"/>
          </w:tcPr>
          <w:p w14:paraId="0E919CEC">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安全要求</w:t>
            </w:r>
          </w:p>
        </w:tc>
        <w:tc>
          <w:tcPr>
            <w:tcW w:w="729" w:type="pct"/>
            <w:vMerge w:val="continue"/>
            <w:vAlign w:val="center"/>
          </w:tcPr>
          <w:p w14:paraId="033DB186">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70D02676">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内存地址隔离</w:t>
            </w:r>
          </w:p>
        </w:tc>
        <w:tc>
          <w:tcPr>
            <w:tcW w:w="2177" w:type="pct"/>
            <w:shd w:val="clear" w:color="auto" w:fill="auto"/>
            <w:vAlign w:val="center"/>
          </w:tcPr>
          <w:p w14:paraId="7C60735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在硬件支持的情况下，支持故障内存地址重启后隔离</w:t>
            </w:r>
          </w:p>
        </w:tc>
      </w:tr>
      <w:tr w14:paraId="03C5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680BBC97">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87</w:t>
            </w:r>
          </w:p>
        </w:tc>
        <w:tc>
          <w:tcPr>
            <w:tcW w:w="513" w:type="pct"/>
            <w:shd w:val="clear" w:color="auto" w:fill="auto"/>
            <w:vAlign w:val="center"/>
          </w:tcPr>
          <w:p w14:paraId="254EDEE6">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安全要求</w:t>
            </w:r>
          </w:p>
        </w:tc>
        <w:tc>
          <w:tcPr>
            <w:tcW w:w="729" w:type="pct"/>
            <w:vMerge w:val="continue"/>
            <w:vAlign w:val="center"/>
          </w:tcPr>
          <w:p w14:paraId="5DC9E290">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25059351">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内存存储阵列替换</w:t>
            </w:r>
          </w:p>
        </w:tc>
        <w:tc>
          <w:tcPr>
            <w:tcW w:w="2177" w:type="pct"/>
            <w:shd w:val="clear" w:color="auto" w:fill="auto"/>
            <w:vAlign w:val="center"/>
          </w:tcPr>
          <w:p w14:paraId="61F15E92">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在硬件支持的情况下，支持故障内存存储阵列替换</w:t>
            </w:r>
          </w:p>
        </w:tc>
      </w:tr>
      <w:tr w14:paraId="1E07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6" w:type="dxa"/>
            <w:vMerge w:val="restart"/>
            <w:shd w:val="clear" w:color="auto" w:fill="auto"/>
            <w:vAlign w:val="center"/>
          </w:tcPr>
          <w:p w14:paraId="59370A93">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88</w:t>
            </w:r>
          </w:p>
        </w:tc>
        <w:tc>
          <w:tcPr>
            <w:tcW w:w="513" w:type="pct"/>
            <w:vMerge w:val="restart"/>
            <w:shd w:val="clear" w:color="auto" w:fill="auto"/>
            <w:vAlign w:val="center"/>
          </w:tcPr>
          <w:p w14:paraId="2F9D8185">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安全要求</w:t>
            </w:r>
          </w:p>
        </w:tc>
        <w:tc>
          <w:tcPr>
            <w:tcW w:w="729" w:type="pct"/>
            <w:vMerge w:val="continue"/>
            <w:vAlign w:val="center"/>
          </w:tcPr>
          <w:p w14:paraId="487E962B">
            <w:pPr>
              <w:widowControl/>
              <w:spacing w:line="360" w:lineRule="auto"/>
              <w:jc w:val="left"/>
              <w:rPr>
                <w:rFonts w:ascii="宋体" w:hAnsi="宋体" w:cs="宋体"/>
                <w:color w:val="000000"/>
                <w:kern w:val="0"/>
                <w:szCs w:val="24"/>
                <w14:ligatures w14:val="none"/>
              </w:rPr>
            </w:pPr>
          </w:p>
        </w:tc>
        <w:tc>
          <w:tcPr>
            <w:tcW w:w="1341" w:type="pct"/>
            <w:vMerge w:val="restart"/>
            <w:shd w:val="clear" w:color="auto" w:fill="auto"/>
            <w:vAlign w:val="center"/>
          </w:tcPr>
          <w:p w14:paraId="3B53DB12">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安全启动</w:t>
            </w:r>
          </w:p>
        </w:tc>
        <w:tc>
          <w:tcPr>
            <w:tcW w:w="2177" w:type="pct"/>
            <w:shd w:val="clear" w:color="auto" w:fill="auto"/>
            <w:vAlign w:val="center"/>
          </w:tcPr>
          <w:p w14:paraId="1B080726">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支持执行环境要求在整个系统启动的过程中，系统应提供一个机制来保护平台的完整性</w:t>
            </w:r>
          </w:p>
        </w:tc>
      </w:tr>
      <w:tr w14:paraId="2104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40" w:type="pct"/>
            <w:vMerge w:val="continue"/>
            <w:vAlign w:val="center"/>
          </w:tcPr>
          <w:p w14:paraId="0F83FA8F">
            <w:pPr>
              <w:widowControl/>
              <w:spacing w:line="360" w:lineRule="auto"/>
              <w:jc w:val="left"/>
              <w:rPr>
                <w:rFonts w:ascii="宋体" w:hAnsi="宋体" w:cs="宋体"/>
                <w:color w:val="000000"/>
                <w:kern w:val="0"/>
                <w:szCs w:val="24"/>
                <w14:ligatures w14:val="none"/>
              </w:rPr>
            </w:pPr>
          </w:p>
        </w:tc>
        <w:tc>
          <w:tcPr>
            <w:tcW w:w="513" w:type="pct"/>
            <w:vMerge w:val="continue"/>
            <w:vAlign w:val="center"/>
          </w:tcPr>
          <w:p w14:paraId="552FF5BF">
            <w:pPr>
              <w:widowControl/>
              <w:spacing w:line="360" w:lineRule="auto"/>
              <w:jc w:val="left"/>
              <w:rPr>
                <w:rFonts w:ascii="宋体" w:hAnsi="宋体" w:cs="宋体"/>
                <w:color w:val="000000"/>
                <w:kern w:val="0"/>
                <w:szCs w:val="24"/>
                <w14:ligatures w14:val="none"/>
              </w:rPr>
            </w:pPr>
          </w:p>
        </w:tc>
        <w:tc>
          <w:tcPr>
            <w:tcW w:w="729" w:type="pct"/>
            <w:vMerge w:val="continue"/>
            <w:vAlign w:val="center"/>
          </w:tcPr>
          <w:p w14:paraId="2BF38A43">
            <w:pPr>
              <w:widowControl/>
              <w:spacing w:line="360" w:lineRule="auto"/>
              <w:jc w:val="left"/>
              <w:rPr>
                <w:rFonts w:ascii="宋体" w:hAnsi="宋体" w:cs="宋体"/>
                <w:color w:val="000000"/>
                <w:kern w:val="0"/>
                <w:szCs w:val="24"/>
                <w14:ligatures w14:val="none"/>
              </w:rPr>
            </w:pPr>
          </w:p>
        </w:tc>
        <w:tc>
          <w:tcPr>
            <w:tcW w:w="1341" w:type="pct"/>
            <w:vMerge w:val="continue"/>
            <w:vAlign w:val="center"/>
          </w:tcPr>
          <w:p w14:paraId="390BF911">
            <w:pPr>
              <w:widowControl/>
              <w:spacing w:line="360" w:lineRule="auto"/>
              <w:jc w:val="left"/>
              <w:rPr>
                <w:rFonts w:ascii="宋体" w:hAnsi="宋体" w:cs="宋体"/>
                <w:color w:val="000000"/>
                <w:kern w:val="0"/>
                <w:szCs w:val="24"/>
                <w14:ligatures w14:val="none"/>
              </w:rPr>
            </w:pPr>
          </w:p>
        </w:tc>
        <w:tc>
          <w:tcPr>
            <w:tcW w:w="2177" w:type="pct"/>
            <w:shd w:val="clear" w:color="auto" w:fill="auto"/>
            <w:vAlign w:val="center"/>
          </w:tcPr>
          <w:p w14:paraId="1B5EDB0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支持执行环境要求在整个系统启动的过程中，系统应提供一个机制来保护平台的完整性</w:t>
            </w:r>
          </w:p>
        </w:tc>
      </w:tr>
      <w:tr w14:paraId="044E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56FC7703">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89</w:t>
            </w:r>
          </w:p>
        </w:tc>
        <w:tc>
          <w:tcPr>
            <w:tcW w:w="513" w:type="pct"/>
            <w:shd w:val="clear" w:color="auto" w:fill="auto"/>
            <w:vAlign w:val="center"/>
          </w:tcPr>
          <w:p w14:paraId="2E6EA2AE">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安全要求</w:t>
            </w:r>
          </w:p>
        </w:tc>
        <w:tc>
          <w:tcPr>
            <w:tcW w:w="729" w:type="pct"/>
            <w:vMerge w:val="restart"/>
            <w:shd w:val="clear" w:color="auto" w:fill="auto"/>
            <w:vAlign w:val="center"/>
          </w:tcPr>
          <w:p w14:paraId="6563B8F6">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系统安全要求</w:t>
            </w:r>
          </w:p>
        </w:tc>
        <w:tc>
          <w:tcPr>
            <w:tcW w:w="1341" w:type="pct"/>
            <w:shd w:val="clear" w:color="auto" w:fill="auto"/>
            <w:vAlign w:val="center"/>
          </w:tcPr>
          <w:p w14:paraId="3DBBA7B5">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syslog 双向鉴别</w:t>
            </w:r>
          </w:p>
        </w:tc>
        <w:tc>
          <w:tcPr>
            <w:tcW w:w="2177" w:type="pct"/>
            <w:shd w:val="clear" w:color="auto" w:fill="auto"/>
            <w:vAlign w:val="center"/>
          </w:tcPr>
          <w:p w14:paraId="631DABA2">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不涉及</w:t>
            </w:r>
          </w:p>
        </w:tc>
      </w:tr>
      <w:tr w14:paraId="4331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6" w:type="dxa"/>
            <w:shd w:val="clear" w:color="auto" w:fill="auto"/>
            <w:vAlign w:val="center"/>
          </w:tcPr>
          <w:p w14:paraId="4DE1E1F0">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90</w:t>
            </w:r>
          </w:p>
        </w:tc>
        <w:tc>
          <w:tcPr>
            <w:tcW w:w="513" w:type="pct"/>
            <w:shd w:val="clear" w:color="auto" w:fill="auto"/>
            <w:vAlign w:val="center"/>
          </w:tcPr>
          <w:p w14:paraId="6DA5A5A0">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安全要求</w:t>
            </w:r>
          </w:p>
        </w:tc>
        <w:tc>
          <w:tcPr>
            <w:tcW w:w="729" w:type="pct"/>
            <w:vMerge w:val="continue"/>
            <w:vAlign w:val="center"/>
          </w:tcPr>
          <w:p w14:paraId="06CFEB7B">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71898700">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★弱口令字典检查</w:t>
            </w:r>
          </w:p>
        </w:tc>
        <w:tc>
          <w:tcPr>
            <w:tcW w:w="2177" w:type="pct"/>
            <w:shd w:val="clear" w:color="auto" w:fill="auto"/>
            <w:vAlign w:val="center"/>
          </w:tcPr>
          <w:p w14:paraId="440D097B">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支持弱口令字典检查功能，出现在弱口令字典中的字符串不能被设置为用户口令</w:t>
            </w:r>
          </w:p>
        </w:tc>
      </w:tr>
      <w:tr w14:paraId="250E9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5CD03937">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91</w:t>
            </w:r>
          </w:p>
        </w:tc>
        <w:tc>
          <w:tcPr>
            <w:tcW w:w="513" w:type="pct"/>
            <w:shd w:val="clear" w:color="auto" w:fill="auto"/>
            <w:vAlign w:val="center"/>
          </w:tcPr>
          <w:p w14:paraId="3B2FDEF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安全要求</w:t>
            </w:r>
          </w:p>
        </w:tc>
        <w:tc>
          <w:tcPr>
            <w:tcW w:w="729" w:type="pct"/>
            <w:vMerge w:val="continue"/>
            <w:vAlign w:val="center"/>
          </w:tcPr>
          <w:p w14:paraId="368906AA">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41D1814C">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★白名单访问控制</w:t>
            </w:r>
          </w:p>
        </w:tc>
        <w:tc>
          <w:tcPr>
            <w:tcW w:w="2177" w:type="pct"/>
            <w:shd w:val="clear" w:color="auto" w:fill="auto"/>
            <w:vAlign w:val="center"/>
          </w:tcPr>
          <w:p w14:paraId="1D5A1CC6">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支持基于时间、IP或 MAC白名单访问控制</w:t>
            </w:r>
          </w:p>
        </w:tc>
      </w:tr>
      <w:tr w14:paraId="4BE6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3C6E0AC7">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92</w:t>
            </w:r>
          </w:p>
        </w:tc>
        <w:tc>
          <w:tcPr>
            <w:tcW w:w="513" w:type="pct"/>
            <w:shd w:val="clear" w:color="auto" w:fill="auto"/>
            <w:vAlign w:val="center"/>
          </w:tcPr>
          <w:p w14:paraId="64A04E21">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安全要求</w:t>
            </w:r>
          </w:p>
        </w:tc>
        <w:tc>
          <w:tcPr>
            <w:tcW w:w="729" w:type="pct"/>
            <w:vMerge w:val="continue"/>
            <w:vAlign w:val="center"/>
          </w:tcPr>
          <w:p w14:paraId="74E24005">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26BEFF92">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双因素鉴别</w:t>
            </w:r>
          </w:p>
        </w:tc>
        <w:tc>
          <w:tcPr>
            <w:tcW w:w="2177" w:type="pct"/>
            <w:shd w:val="clear" w:color="auto" w:fill="auto"/>
            <w:vAlign w:val="center"/>
          </w:tcPr>
          <w:p w14:paraId="085F5258">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不涉及</w:t>
            </w:r>
          </w:p>
        </w:tc>
      </w:tr>
      <w:tr w14:paraId="3813B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6A87AC5F">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93</w:t>
            </w:r>
          </w:p>
        </w:tc>
        <w:tc>
          <w:tcPr>
            <w:tcW w:w="513" w:type="pct"/>
            <w:shd w:val="clear" w:color="auto" w:fill="auto"/>
            <w:vAlign w:val="center"/>
          </w:tcPr>
          <w:p w14:paraId="71EC99C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安全要求</w:t>
            </w:r>
          </w:p>
        </w:tc>
        <w:tc>
          <w:tcPr>
            <w:tcW w:w="729" w:type="pct"/>
            <w:vMerge w:val="continue"/>
            <w:vAlign w:val="center"/>
          </w:tcPr>
          <w:p w14:paraId="1CD3EB91">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0900DACB">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★二次鉴别</w:t>
            </w:r>
          </w:p>
        </w:tc>
        <w:tc>
          <w:tcPr>
            <w:tcW w:w="2177" w:type="pct"/>
            <w:shd w:val="clear" w:color="auto" w:fill="auto"/>
            <w:vAlign w:val="center"/>
          </w:tcPr>
          <w:p w14:paraId="00D64B4F">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不涉及</w:t>
            </w:r>
          </w:p>
        </w:tc>
      </w:tr>
      <w:tr w14:paraId="185F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66DDBA44">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94</w:t>
            </w:r>
          </w:p>
        </w:tc>
        <w:tc>
          <w:tcPr>
            <w:tcW w:w="513" w:type="pct"/>
            <w:shd w:val="clear" w:color="auto" w:fill="auto"/>
            <w:vAlign w:val="center"/>
          </w:tcPr>
          <w:p w14:paraId="633FA528">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安全要求</w:t>
            </w:r>
          </w:p>
        </w:tc>
        <w:tc>
          <w:tcPr>
            <w:tcW w:w="729" w:type="pct"/>
            <w:vMerge w:val="continue"/>
            <w:vAlign w:val="center"/>
          </w:tcPr>
          <w:p w14:paraId="1BAFE34C">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45AFA670">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匿名化用户告警接收邮箱</w:t>
            </w:r>
          </w:p>
        </w:tc>
        <w:tc>
          <w:tcPr>
            <w:tcW w:w="2177" w:type="pct"/>
            <w:shd w:val="clear" w:color="auto" w:fill="auto"/>
            <w:vAlign w:val="center"/>
          </w:tcPr>
          <w:p w14:paraId="7E90E9A1">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支持带外管理系统中的用户告警接收邮箱</w:t>
            </w:r>
          </w:p>
        </w:tc>
      </w:tr>
      <w:tr w14:paraId="5DFE5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76" w:type="dxa"/>
            <w:shd w:val="clear" w:color="auto" w:fill="auto"/>
            <w:vAlign w:val="center"/>
          </w:tcPr>
          <w:p w14:paraId="2DA00415">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95</w:t>
            </w:r>
          </w:p>
        </w:tc>
        <w:tc>
          <w:tcPr>
            <w:tcW w:w="513" w:type="pct"/>
            <w:shd w:val="clear" w:color="auto" w:fill="auto"/>
            <w:vAlign w:val="center"/>
          </w:tcPr>
          <w:p w14:paraId="6EC95352">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安全要求</w:t>
            </w:r>
          </w:p>
        </w:tc>
        <w:tc>
          <w:tcPr>
            <w:tcW w:w="729" w:type="pct"/>
            <w:vMerge w:val="continue"/>
            <w:vAlign w:val="center"/>
          </w:tcPr>
          <w:p w14:paraId="3C8E6BBF">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3EC85B13">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★密码证书安全加密存储</w:t>
            </w:r>
          </w:p>
        </w:tc>
        <w:tc>
          <w:tcPr>
            <w:tcW w:w="2177" w:type="pct"/>
            <w:shd w:val="clear" w:color="auto" w:fill="auto"/>
            <w:vAlign w:val="center"/>
          </w:tcPr>
          <w:p w14:paraId="275AB5D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支持对带外管理系统中的用户口令和证书等敏感信息进行加密存储，禁止使用私有的和业界已知不安全的密码算法</w:t>
            </w:r>
          </w:p>
        </w:tc>
      </w:tr>
      <w:tr w14:paraId="02E04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6" w:type="dxa"/>
            <w:shd w:val="clear" w:color="auto" w:fill="auto"/>
            <w:vAlign w:val="center"/>
          </w:tcPr>
          <w:p w14:paraId="02262C71">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96</w:t>
            </w:r>
          </w:p>
        </w:tc>
        <w:tc>
          <w:tcPr>
            <w:tcW w:w="513" w:type="pct"/>
            <w:shd w:val="clear" w:color="auto" w:fill="auto"/>
            <w:vAlign w:val="center"/>
          </w:tcPr>
          <w:p w14:paraId="0D83A413">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安全要求</w:t>
            </w:r>
          </w:p>
        </w:tc>
        <w:tc>
          <w:tcPr>
            <w:tcW w:w="729" w:type="pct"/>
            <w:vMerge w:val="continue"/>
            <w:vAlign w:val="center"/>
          </w:tcPr>
          <w:p w14:paraId="0E3A2927">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684962C8">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★敏感信息安全加密传输</w:t>
            </w:r>
          </w:p>
        </w:tc>
        <w:tc>
          <w:tcPr>
            <w:tcW w:w="2177" w:type="pct"/>
            <w:shd w:val="clear" w:color="auto" w:fill="auto"/>
            <w:vAlign w:val="center"/>
          </w:tcPr>
          <w:p w14:paraId="625F7389">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支持使用安全的传输加密协议（如 SSH或HTTPS等）传输用户的敏感信息</w:t>
            </w:r>
          </w:p>
        </w:tc>
      </w:tr>
      <w:tr w14:paraId="7C51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76" w:type="dxa"/>
            <w:shd w:val="clear" w:color="auto" w:fill="auto"/>
            <w:vAlign w:val="center"/>
          </w:tcPr>
          <w:p w14:paraId="7176614F">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97</w:t>
            </w:r>
          </w:p>
        </w:tc>
        <w:tc>
          <w:tcPr>
            <w:tcW w:w="513" w:type="pct"/>
            <w:shd w:val="clear" w:color="auto" w:fill="auto"/>
            <w:vAlign w:val="center"/>
          </w:tcPr>
          <w:p w14:paraId="6580052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安全要求</w:t>
            </w:r>
          </w:p>
        </w:tc>
        <w:tc>
          <w:tcPr>
            <w:tcW w:w="729" w:type="pct"/>
            <w:vMerge w:val="restart"/>
            <w:shd w:val="clear" w:color="auto" w:fill="auto"/>
            <w:vAlign w:val="center"/>
          </w:tcPr>
          <w:p w14:paraId="7B52272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信息安全要求</w:t>
            </w:r>
          </w:p>
        </w:tc>
        <w:tc>
          <w:tcPr>
            <w:tcW w:w="1341" w:type="pct"/>
            <w:shd w:val="clear" w:color="auto" w:fill="auto"/>
            <w:vAlign w:val="center"/>
          </w:tcPr>
          <w:p w14:paraId="19B493F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★研发过程安全</w:t>
            </w:r>
          </w:p>
        </w:tc>
        <w:tc>
          <w:tcPr>
            <w:tcW w:w="2177" w:type="pct"/>
            <w:shd w:val="clear" w:color="auto" w:fill="auto"/>
            <w:vAlign w:val="center"/>
          </w:tcPr>
          <w:p w14:paraId="3F9CC57E">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供应商承诺，生产商已建立从需求、设计、 开发 、测试 、维护端到端的开发流程管理机制，输出和保存开发流程中每个阶段的产品需求清单、设计文档 、开发文档 、测试记录等材料，保证各个流程可追溯</w:t>
            </w:r>
          </w:p>
        </w:tc>
      </w:tr>
      <w:tr w14:paraId="03C9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545FA6F1">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98</w:t>
            </w:r>
          </w:p>
        </w:tc>
        <w:tc>
          <w:tcPr>
            <w:tcW w:w="513" w:type="pct"/>
            <w:shd w:val="clear" w:color="auto" w:fill="auto"/>
            <w:vAlign w:val="center"/>
          </w:tcPr>
          <w:p w14:paraId="74944AA2">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安全要求</w:t>
            </w:r>
          </w:p>
        </w:tc>
        <w:tc>
          <w:tcPr>
            <w:tcW w:w="729" w:type="pct"/>
            <w:vMerge w:val="continue"/>
            <w:vAlign w:val="center"/>
          </w:tcPr>
          <w:p w14:paraId="780015F2">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3656D0BD">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漏洞管理</w:t>
            </w:r>
          </w:p>
        </w:tc>
        <w:tc>
          <w:tcPr>
            <w:tcW w:w="2177" w:type="pct"/>
            <w:shd w:val="clear" w:color="auto" w:fill="auto"/>
            <w:vAlign w:val="center"/>
          </w:tcPr>
          <w:p w14:paraId="3B92A4D3">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不涉及</w:t>
            </w:r>
          </w:p>
        </w:tc>
      </w:tr>
      <w:tr w14:paraId="0C14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75CA57EC">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99</w:t>
            </w:r>
          </w:p>
        </w:tc>
        <w:tc>
          <w:tcPr>
            <w:tcW w:w="513" w:type="pct"/>
            <w:shd w:val="clear" w:color="auto" w:fill="auto"/>
            <w:vAlign w:val="center"/>
          </w:tcPr>
          <w:p w14:paraId="6E9BEA06">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安全要求</w:t>
            </w:r>
          </w:p>
        </w:tc>
        <w:tc>
          <w:tcPr>
            <w:tcW w:w="729" w:type="pct"/>
            <w:vMerge w:val="continue"/>
            <w:vAlign w:val="center"/>
          </w:tcPr>
          <w:p w14:paraId="6E6DDA98">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0767E126">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网络关键设备服务器要求</w:t>
            </w:r>
          </w:p>
        </w:tc>
        <w:tc>
          <w:tcPr>
            <w:tcW w:w="2177" w:type="pct"/>
            <w:shd w:val="clear" w:color="auto" w:fill="auto"/>
            <w:vAlign w:val="center"/>
          </w:tcPr>
          <w:p w14:paraId="37351FE2">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不涉及</w:t>
            </w:r>
          </w:p>
        </w:tc>
      </w:tr>
      <w:tr w14:paraId="10F05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576" w:type="dxa"/>
            <w:shd w:val="clear" w:color="auto" w:fill="auto"/>
            <w:vAlign w:val="center"/>
          </w:tcPr>
          <w:p w14:paraId="1BC662E8">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100</w:t>
            </w:r>
          </w:p>
        </w:tc>
        <w:tc>
          <w:tcPr>
            <w:tcW w:w="513" w:type="pct"/>
            <w:shd w:val="clear" w:color="auto" w:fill="auto"/>
            <w:vAlign w:val="center"/>
          </w:tcPr>
          <w:p w14:paraId="24CD2085">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安全要求</w:t>
            </w:r>
          </w:p>
        </w:tc>
        <w:tc>
          <w:tcPr>
            <w:tcW w:w="729" w:type="pct"/>
            <w:vMerge w:val="continue"/>
            <w:vAlign w:val="center"/>
          </w:tcPr>
          <w:p w14:paraId="6C6557AB">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06E134A9">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增强要求</w:t>
            </w:r>
          </w:p>
        </w:tc>
        <w:tc>
          <w:tcPr>
            <w:tcW w:w="2177" w:type="pct"/>
            <w:shd w:val="clear" w:color="auto" w:fill="auto"/>
            <w:vAlign w:val="center"/>
          </w:tcPr>
          <w:p w14:paraId="08ADDC7D">
            <w:pPr>
              <w:widowControl/>
              <w:spacing w:line="360" w:lineRule="auto"/>
              <w:jc w:val="center"/>
              <w:rPr>
                <w:rFonts w:ascii="宋体" w:hAnsi="宋体" w:cs="宋体"/>
                <w:color w:val="0070C0"/>
                <w:kern w:val="0"/>
                <w:szCs w:val="24"/>
                <w14:ligatures w14:val="none"/>
              </w:rPr>
            </w:pPr>
            <w:r>
              <w:rPr>
                <w:rFonts w:hint="eastAsia" w:ascii="宋体" w:hAnsi="宋体" w:cs="宋体"/>
                <w:color w:val="0070C0"/>
                <w:kern w:val="0"/>
                <w:szCs w:val="24"/>
                <w14:ligatures w14:val="none"/>
              </w:rPr>
              <w:t>a)CPU（中央处理器）内置核心可信度量根（CRTM），可用于构建信任链以实现从硬件启动到系统运行整个过程的安全性和完整性；</w:t>
            </w:r>
            <w:r>
              <w:rPr>
                <w:rFonts w:hint="eastAsia" w:ascii="宋体" w:hAnsi="宋体" w:cs="宋体"/>
                <w:color w:val="000000"/>
                <w:kern w:val="0"/>
                <w:szCs w:val="24"/>
                <w14:ligatures w14:val="none"/>
              </w:rPr>
              <w:t>b)支持可信平台控制模块(TPCM)；c)支持在固件系统（BMC、BIOS）启动前实现对固件度量的功能，支持物理可信根对BMC固件或BIOS固件进行完整性检测、更新和恢复；d)支持对CPU、网络控制器等关键处理器进行身份识别与度量的功能；e)支持基于处理器或可信计算模块度量的功能；f)所采用的可信密码模块接口应符合GM/T0012的相关规定；g)可信安全管理模块、处理器等硬件载体应通过国家相关部门的认证和许可。</w:t>
            </w:r>
          </w:p>
        </w:tc>
      </w:tr>
      <w:tr w14:paraId="04B3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6F5A2DF4">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101</w:t>
            </w:r>
          </w:p>
        </w:tc>
        <w:tc>
          <w:tcPr>
            <w:tcW w:w="513" w:type="pct"/>
            <w:shd w:val="clear" w:color="auto" w:fill="auto"/>
            <w:vAlign w:val="center"/>
          </w:tcPr>
          <w:p w14:paraId="71A1E306">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安全要求</w:t>
            </w:r>
          </w:p>
        </w:tc>
        <w:tc>
          <w:tcPr>
            <w:tcW w:w="729" w:type="pct"/>
            <w:shd w:val="clear" w:color="auto" w:fill="auto"/>
            <w:vAlign w:val="center"/>
          </w:tcPr>
          <w:p w14:paraId="6A8F40E8">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物理安全</w:t>
            </w:r>
          </w:p>
        </w:tc>
        <w:tc>
          <w:tcPr>
            <w:tcW w:w="1341" w:type="pct"/>
            <w:shd w:val="clear" w:color="auto" w:fill="auto"/>
            <w:vAlign w:val="center"/>
          </w:tcPr>
          <w:p w14:paraId="14B9FB7F">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★物理安全</w:t>
            </w:r>
          </w:p>
        </w:tc>
        <w:tc>
          <w:tcPr>
            <w:tcW w:w="2177" w:type="pct"/>
            <w:shd w:val="clear" w:color="auto" w:fill="auto"/>
            <w:vAlign w:val="center"/>
          </w:tcPr>
          <w:p w14:paraId="3DF1EA3D">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安全要求应符合GB4943.1的规定</w:t>
            </w:r>
          </w:p>
        </w:tc>
      </w:tr>
      <w:tr w14:paraId="1260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6" w:type="dxa"/>
            <w:shd w:val="clear" w:color="auto" w:fill="auto"/>
            <w:vAlign w:val="center"/>
          </w:tcPr>
          <w:p w14:paraId="07BE99B2">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102</w:t>
            </w:r>
          </w:p>
        </w:tc>
        <w:tc>
          <w:tcPr>
            <w:tcW w:w="513" w:type="pct"/>
            <w:shd w:val="clear" w:color="auto" w:fill="auto"/>
            <w:vAlign w:val="center"/>
          </w:tcPr>
          <w:p w14:paraId="361AE7A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安全要求</w:t>
            </w:r>
          </w:p>
        </w:tc>
        <w:tc>
          <w:tcPr>
            <w:tcW w:w="729" w:type="pct"/>
            <w:shd w:val="clear" w:color="auto" w:fill="auto"/>
            <w:vAlign w:val="center"/>
          </w:tcPr>
          <w:p w14:paraId="4135CF0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★限用物质的限量要求</w:t>
            </w:r>
          </w:p>
        </w:tc>
        <w:tc>
          <w:tcPr>
            <w:tcW w:w="1341" w:type="pct"/>
            <w:shd w:val="clear" w:color="auto" w:fill="auto"/>
            <w:vAlign w:val="center"/>
          </w:tcPr>
          <w:p w14:paraId="485425D2">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★限用物质的限量要求</w:t>
            </w:r>
          </w:p>
        </w:tc>
        <w:tc>
          <w:tcPr>
            <w:tcW w:w="2177" w:type="pct"/>
            <w:shd w:val="clear" w:color="auto" w:fill="auto"/>
            <w:vAlign w:val="center"/>
          </w:tcPr>
          <w:p w14:paraId="5F3BC0CE">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限用物质的限量应符合GB/T26572的要求</w:t>
            </w:r>
          </w:p>
        </w:tc>
      </w:tr>
      <w:tr w14:paraId="5DA8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1AE84C2D">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103</w:t>
            </w:r>
          </w:p>
        </w:tc>
        <w:tc>
          <w:tcPr>
            <w:tcW w:w="513" w:type="pct"/>
            <w:shd w:val="clear" w:color="auto" w:fill="auto"/>
            <w:vAlign w:val="center"/>
          </w:tcPr>
          <w:p w14:paraId="5CBF1CF5">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性能要求</w:t>
            </w:r>
          </w:p>
        </w:tc>
        <w:tc>
          <w:tcPr>
            <w:tcW w:w="729" w:type="pct"/>
            <w:vMerge w:val="restart"/>
            <w:shd w:val="clear" w:color="auto" w:fill="auto"/>
            <w:vAlign w:val="center"/>
          </w:tcPr>
          <w:p w14:paraId="2AC6CF3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CPU 性能</w:t>
            </w:r>
          </w:p>
        </w:tc>
        <w:tc>
          <w:tcPr>
            <w:tcW w:w="1341" w:type="pct"/>
            <w:shd w:val="clear" w:color="auto" w:fill="auto"/>
            <w:vAlign w:val="center"/>
          </w:tcPr>
          <w:p w14:paraId="2807BC75">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★CPU主频</w:t>
            </w:r>
          </w:p>
        </w:tc>
        <w:tc>
          <w:tcPr>
            <w:tcW w:w="2177" w:type="pct"/>
            <w:shd w:val="clear" w:color="auto" w:fill="auto"/>
            <w:vAlign w:val="center"/>
          </w:tcPr>
          <w:p w14:paraId="4BD5A1AE">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单颗 CPU≥2.2Hz</w:t>
            </w:r>
          </w:p>
        </w:tc>
      </w:tr>
      <w:tr w14:paraId="39EB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217D8073">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104</w:t>
            </w:r>
          </w:p>
        </w:tc>
        <w:tc>
          <w:tcPr>
            <w:tcW w:w="513" w:type="pct"/>
            <w:shd w:val="clear" w:color="auto" w:fill="auto"/>
            <w:vAlign w:val="center"/>
          </w:tcPr>
          <w:p w14:paraId="66B5710D">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性能要求</w:t>
            </w:r>
          </w:p>
        </w:tc>
        <w:tc>
          <w:tcPr>
            <w:tcW w:w="729" w:type="pct"/>
            <w:vMerge w:val="continue"/>
            <w:vAlign w:val="center"/>
          </w:tcPr>
          <w:p w14:paraId="59BEDF2E">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0A84D14A">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★单CPU 核数</w:t>
            </w:r>
          </w:p>
        </w:tc>
        <w:tc>
          <w:tcPr>
            <w:tcW w:w="2177" w:type="pct"/>
            <w:shd w:val="clear" w:color="auto" w:fill="auto"/>
            <w:vAlign w:val="center"/>
          </w:tcPr>
          <w:p w14:paraId="245DB4BD">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≥32核</w:t>
            </w:r>
          </w:p>
        </w:tc>
      </w:tr>
      <w:tr w14:paraId="6810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19CBF5F0">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105</w:t>
            </w:r>
          </w:p>
        </w:tc>
        <w:tc>
          <w:tcPr>
            <w:tcW w:w="513" w:type="pct"/>
            <w:shd w:val="clear" w:color="auto" w:fill="auto"/>
            <w:vAlign w:val="center"/>
          </w:tcPr>
          <w:p w14:paraId="40A6B94D">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性能要求</w:t>
            </w:r>
          </w:p>
        </w:tc>
        <w:tc>
          <w:tcPr>
            <w:tcW w:w="729" w:type="pct"/>
            <w:vMerge w:val="continue"/>
            <w:vAlign w:val="center"/>
          </w:tcPr>
          <w:p w14:paraId="571F92E4">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71531F73">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★单CPU 末级缓存容</w:t>
            </w:r>
          </w:p>
        </w:tc>
        <w:tc>
          <w:tcPr>
            <w:tcW w:w="2177" w:type="pct"/>
            <w:shd w:val="clear" w:color="auto" w:fill="auto"/>
            <w:vAlign w:val="center"/>
          </w:tcPr>
          <w:p w14:paraId="1CEA6AD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≥64MB</w:t>
            </w:r>
          </w:p>
        </w:tc>
      </w:tr>
      <w:tr w14:paraId="4F1F9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6DFF0A19">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106</w:t>
            </w:r>
          </w:p>
        </w:tc>
        <w:tc>
          <w:tcPr>
            <w:tcW w:w="513" w:type="pct"/>
            <w:shd w:val="clear" w:color="auto" w:fill="auto"/>
            <w:vAlign w:val="center"/>
          </w:tcPr>
          <w:p w14:paraId="6C335BBD">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性能要求</w:t>
            </w:r>
          </w:p>
        </w:tc>
        <w:tc>
          <w:tcPr>
            <w:tcW w:w="729" w:type="pct"/>
            <w:vMerge w:val="restart"/>
            <w:shd w:val="clear" w:color="auto" w:fill="auto"/>
            <w:vAlign w:val="center"/>
          </w:tcPr>
          <w:p w14:paraId="095348D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内存性能</w:t>
            </w:r>
          </w:p>
        </w:tc>
        <w:tc>
          <w:tcPr>
            <w:tcW w:w="1341" w:type="pct"/>
            <w:shd w:val="clear" w:color="auto" w:fill="auto"/>
            <w:vAlign w:val="center"/>
          </w:tcPr>
          <w:p w14:paraId="5B1E183A">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单内存模块容量</w:t>
            </w:r>
          </w:p>
        </w:tc>
        <w:tc>
          <w:tcPr>
            <w:tcW w:w="2177" w:type="pct"/>
            <w:shd w:val="clear" w:color="auto" w:fill="auto"/>
            <w:vAlign w:val="center"/>
          </w:tcPr>
          <w:p w14:paraId="2C9444C9">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≥64GB</w:t>
            </w:r>
          </w:p>
        </w:tc>
      </w:tr>
      <w:tr w14:paraId="5CCA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095A7216">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107</w:t>
            </w:r>
          </w:p>
        </w:tc>
        <w:tc>
          <w:tcPr>
            <w:tcW w:w="513" w:type="pct"/>
            <w:shd w:val="clear" w:color="auto" w:fill="auto"/>
            <w:vAlign w:val="center"/>
          </w:tcPr>
          <w:p w14:paraId="6DD76738">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性能要求</w:t>
            </w:r>
          </w:p>
        </w:tc>
        <w:tc>
          <w:tcPr>
            <w:tcW w:w="729" w:type="pct"/>
            <w:vMerge w:val="continue"/>
            <w:vAlign w:val="center"/>
          </w:tcPr>
          <w:p w14:paraId="7B9FB624">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391B8B60">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★内存速率</w:t>
            </w:r>
          </w:p>
        </w:tc>
        <w:tc>
          <w:tcPr>
            <w:tcW w:w="2177" w:type="pct"/>
            <w:shd w:val="clear" w:color="auto" w:fill="auto"/>
            <w:vAlign w:val="center"/>
          </w:tcPr>
          <w:p w14:paraId="70BEA4EF">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≥3200MT/s</w:t>
            </w:r>
          </w:p>
        </w:tc>
      </w:tr>
      <w:tr w14:paraId="7C78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59174BF2">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108</w:t>
            </w:r>
          </w:p>
        </w:tc>
        <w:tc>
          <w:tcPr>
            <w:tcW w:w="513" w:type="pct"/>
            <w:shd w:val="clear" w:color="auto" w:fill="auto"/>
            <w:vAlign w:val="center"/>
          </w:tcPr>
          <w:p w14:paraId="6DC96046">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性能要求</w:t>
            </w:r>
          </w:p>
        </w:tc>
        <w:tc>
          <w:tcPr>
            <w:tcW w:w="729" w:type="pct"/>
            <w:shd w:val="clear" w:color="auto" w:fill="auto"/>
            <w:vAlign w:val="center"/>
          </w:tcPr>
          <w:p w14:paraId="617F43B5">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存储性能</w:t>
            </w:r>
          </w:p>
        </w:tc>
        <w:tc>
          <w:tcPr>
            <w:tcW w:w="1341" w:type="pct"/>
            <w:shd w:val="clear" w:color="auto" w:fill="auto"/>
            <w:vAlign w:val="center"/>
          </w:tcPr>
          <w:p w14:paraId="6A554E58">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硬盘转速</w:t>
            </w:r>
          </w:p>
        </w:tc>
        <w:tc>
          <w:tcPr>
            <w:tcW w:w="2177" w:type="pct"/>
            <w:shd w:val="clear" w:color="auto" w:fill="auto"/>
            <w:vAlign w:val="center"/>
          </w:tcPr>
          <w:p w14:paraId="65AB6CC5">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安装的硬磁盘转速不小于7200rpm</w:t>
            </w:r>
          </w:p>
        </w:tc>
      </w:tr>
      <w:tr w14:paraId="68E9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3B25287D">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109</w:t>
            </w:r>
          </w:p>
        </w:tc>
        <w:tc>
          <w:tcPr>
            <w:tcW w:w="513" w:type="pct"/>
            <w:shd w:val="clear" w:color="auto" w:fill="auto"/>
            <w:vAlign w:val="center"/>
          </w:tcPr>
          <w:p w14:paraId="1B8F05E0">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性能要求</w:t>
            </w:r>
          </w:p>
        </w:tc>
        <w:tc>
          <w:tcPr>
            <w:tcW w:w="729" w:type="pct"/>
            <w:shd w:val="clear" w:color="auto" w:fill="auto"/>
            <w:vAlign w:val="center"/>
          </w:tcPr>
          <w:p w14:paraId="58E11A45">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RAID 卡性能</w:t>
            </w:r>
          </w:p>
        </w:tc>
        <w:tc>
          <w:tcPr>
            <w:tcW w:w="1341" w:type="pct"/>
            <w:shd w:val="clear" w:color="auto" w:fill="auto"/>
            <w:vAlign w:val="center"/>
          </w:tcPr>
          <w:p w14:paraId="4EB9B63D">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RAID 卡缓存容量大小</w:t>
            </w:r>
          </w:p>
        </w:tc>
        <w:tc>
          <w:tcPr>
            <w:tcW w:w="2177" w:type="pct"/>
            <w:shd w:val="clear" w:color="auto" w:fill="auto"/>
            <w:vAlign w:val="center"/>
          </w:tcPr>
          <w:p w14:paraId="45910E96">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不涉及</w:t>
            </w:r>
          </w:p>
        </w:tc>
      </w:tr>
      <w:tr w14:paraId="5A859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5F337E72">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110</w:t>
            </w:r>
          </w:p>
        </w:tc>
        <w:tc>
          <w:tcPr>
            <w:tcW w:w="513" w:type="pct"/>
            <w:shd w:val="clear" w:color="auto" w:fill="auto"/>
            <w:vAlign w:val="center"/>
          </w:tcPr>
          <w:p w14:paraId="5586B34E">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性能要求</w:t>
            </w:r>
          </w:p>
        </w:tc>
        <w:tc>
          <w:tcPr>
            <w:tcW w:w="729" w:type="pct"/>
            <w:shd w:val="clear" w:color="auto" w:fill="auto"/>
            <w:vAlign w:val="center"/>
          </w:tcPr>
          <w:p w14:paraId="2B9993A6">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FC HBA卡性能</w:t>
            </w:r>
          </w:p>
        </w:tc>
        <w:tc>
          <w:tcPr>
            <w:tcW w:w="1341" w:type="pct"/>
            <w:shd w:val="clear" w:color="auto" w:fill="auto"/>
            <w:vAlign w:val="center"/>
          </w:tcPr>
          <w:p w14:paraId="3DC218C1">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FC HBA 卡性能</w:t>
            </w:r>
          </w:p>
        </w:tc>
        <w:tc>
          <w:tcPr>
            <w:tcW w:w="2177" w:type="pct"/>
            <w:shd w:val="clear" w:color="auto" w:fill="auto"/>
            <w:vAlign w:val="center"/>
          </w:tcPr>
          <w:p w14:paraId="5A3C6899">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不涉及</w:t>
            </w:r>
          </w:p>
        </w:tc>
      </w:tr>
      <w:tr w14:paraId="45DE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6" w:type="dxa"/>
            <w:shd w:val="clear" w:color="auto" w:fill="auto"/>
            <w:vAlign w:val="center"/>
          </w:tcPr>
          <w:p w14:paraId="50F8B29D">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111</w:t>
            </w:r>
          </w:p>
        </w:tc>
        <w:tc>
          <w:tcPr>
            <w:tcW w:w="513" w:type="pct"/>
            <w:shd w:val="clear" w:color="auto" w:fill="auto"/>
            <w:vAlign w:val="center"/>
          </w:tcPr>
          <w:p w14:paraId="6FE90793">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性能要求</w:t>
            </w:r>
          </w:p>
        </w:tc>
        <w:tc>
          <w:tcPr>
            <w:tcW w:w="729" w:type="pct"/>
            <w:vMerge w:val="restart"/>
            <w:shd w:val="clear" w:color="auto" w:fill="auto"/>
            <w:vAlign w:val="center"/>
          </w:tcPr>
          <w:p w14:paraId="59D48ABC">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网络性能</w:t>
            </w:r>
          </w:p>
        </w:tc>
        <w:tc>
          <w:tcPr>
            <w:tcW w:w="1341" w:type="pct"/>
            <w:shd w:val="clear" w:color="auto" w:fill="auto"/>
            <w:vAlign w:val="center"/>
          </w:tcPr>
          <w:p w14:paraId="49DB43B6">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独立网卡速率</w:t>
            </w:r>
          </w:p>
        </w:tc>
        <w:tc>
          <w:tcPr>
            <w:tcW w:w="2177" w:type="pct"/>
            <w:shd w:val="clear" w:color="auto" w:fill="auto"/>
            <w:vAlign w:val="center"/>
          </w:tcPr>
          <w:p w14:paraId="7BC168CB">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配置独立网卡速率≥10GE光纤接口；≥1GE RJ45接口</w:t>
            </w:r>
          </w:p>
        </w:tc>
      </w:tr>
      <w:tr w14:paraId="381E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755CA6F9">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112</w:t>
            </w:r>
          </w:p>
        </w:tc>
        <w:tc>
          <w:tcPr>
            <w:tcW w:w="513" w:type="pct"/>
            <w:shd w:val="clear" w:color="auto" w:fill="auto"/>
            <w:vAlign w:val="center"/>
          </w:tcPr>
          <w:p w14:paraId="7E7E9FEE">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性能要求</w:t>
            </w:r>
          </w:p>
        </w:tc>
        <w:tc>
          <w:tcPr>
            <w:tcW w:w="729" w:type="pct"/>
            <w:vMerge w:val="continue"/>
            <w:vAlign w:val="center"/>
          </w:tcPr>
          <w:p w14:paraId="5ACA68DE">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2225ECC9">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板载网卡速率</w:t>
            </w:r>
          </w:p>
        </w:tc>
        <w:tc>
          <w:tcPr>
            <w:tcW w:w="2177" w:type="pct"/>
            <w:shd w:val="clear" w:color="auto" w:fill="auto"/>
            <w:vAlign w:val="center"/>
          </w:tcPr>
          <w:p w14:paraId="23F99038">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不涉及</w:t>
            </w:r>
          </w:p>
        </w:tc>
      </w:tr>
      <w:tr w14:paraId="254D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070DB514">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113</w:t>
            </w:r>
          </w:p>
        </w:tc>
        <w:tc>
          <w:tcPr>
            <w:tcW w:w="513" w:type="pct"/>
            <w:shd w:val="clear" w:color="auto" w:fill="auto"/>
            <w:vAlign w:val="center"/>
          </w:tcPr>
          <w:p w14:paraId="33E870BF">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性能要求</w:t>
            </w:r>
          </w:p>
        </w:tc>
        <w:tc>
          <w:tcPr>
            <w:tcW w:w="729" w:type="pct"/>
            <w:shd w:val="clear" w:color="auto" w:fill="auto"/>
            <w:vAlign w:val="center"/>
          </w:tcPr>
          <w:p w14:paraId="773A16DE">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电源能耗</w:t>
            </w:r>
          </w:p>
        </w:tc>
        <w:tc>
          <w:tcPr>
            <w:tcW w:w="1341" w:type="pct"/>
            <w:shd w:val="clear" w:color="auto" w:fill="auto"/>
            <w:vAlign w:val="center"/>
          </w:tcPr>
          <w:p w14:paraId="0A8C276E">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★电源能耗</w:t>
            </w:r>
          </w:p>
        </w:tc>
        <w:tc>
          <w:tcPr>
            <w:tcW w:w="2177" w:type="pct"/>
            <w:shd w:val="clear" w:color="auto" w:fill="auto"/>
            <w:vAlign w:val="center"/>
          </w:tcPr>
          <w:p w14:paraId="3DD1664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符合 GB/T 9813.3的有关规定</w:t>
            </w:r>
          </w:p>
        </w:tc>
      </w:tr>
      <w:tr w14:paraId="70FB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6" w:type="dxa"/>
            <w:shd w:val="clear" w:color="auto" w:fill="auto"/>
            <w:vAlign w:val="center"/>
          </w:tcPr>
          <w:p w14:paraId="27FE998A">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114</w:t>
            </w:r>
          </w:p>
        </w:tc>
        <w:tc>
          <w:tcPr>
            <w:tcW w:w="513" w:type="pct"/>
            <w:shd w:val="clear" w:color="auto" w:fill="auto"/>
            <w:vAlign w:val="center"/>
          </w:tcPr>
          <w:p w14:paraId="6D54FFD3">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兼容要求</w:t>
            </w:r>
          </w:p>
        </w:tc>
        <w:tc>
          <w:tcPr>
            <w:tcW w:w="729" w:type="pct"/>
            <w:vMerge w:val="restart"/>
            <w:shd w:val="clear" w:color="auto" w:fill="auto"/>
            <w:vAlign w:val="center"/>
          </w:tcPr>
          <w:p w14:paraId="70E7206F">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部件兼容性要求</w:t>
            </w:r>
          </w:p>
        </w:tc>
        <w:tc>
          <w:tcPr>
            <w:tcW w:w="1341" w:type="pct"/>
            <w:shd w:val="clear" w:color="auto" w:fill="auto"/>
            <w:vAlign w:val="center"/>
          </w:tcPr>
          <w:p w14:paraId="6DD439FB">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★内存兼容性</w:t>
            </w:r>
          </w:p>
        </w:tc>
        <w:tc>
          <w:tcPr>
            <w:tcW w:w="2177" w:type="pct"/>
            <w:shd w:val="clear" w:color="auto" w:fill="auto"/>
            <w:vAlign w:val="center"/>
          </w:tcPr>
          <w:p w14:paraId="01C15589">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适配 3 种及以上厂商的内存产品且均不低于产品支持的内存规格</w:t>
            </w:r>
          </w:p>
        </w:tc>
      </w:tr>
      <w:tr w14:paraId="6A757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6" w:type="dxa"/>
            <w:shd w:val="clear" w:color="auto" w:fill="auto"/>
            <w:vAlign w:val="center"/>
          </w:tcPr>
          <w:p w14:paraId="6EDE92E2">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115</w:t>
            </w:r>
          </w:p>
        </w:tc>
        <w:tc>
          <w:tcPr>
            <w:tcW w:w="513" w:type="pct"/>
            <w:shd w:val="clear" w:color="auto" w:fill="auto"/>
            <w:vAlign w:val="center"/>
          </w:tcPr>
          <w:p w14:paraId="6BB5D90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兼容要求</w:t>
            </w:r>
          </w:p>
        </w:tc>
        <w:tc>
          <w:tcPr>
            <w:tcW w:w="729" w:type="pct"/>
            <w:vMerge w:val="continue"/>
            <w:vAlign w:val="center"/>
          </w:tcPr>
          <w:p w14:paraId="3A536477">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2C42065E">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★固态存储兼容性</w:t>
            </w:r>
          </w:p>
        </w:tc>
        <w:tc>
          <w:tcPr>
            <w:tcW w:w="2177" w:type="pct"/>
            <w:shd w:val="clear" w:color="auto" w:fill="auto"/>
            <w:vAlign w:val="center"/>
          </w:tcPr>
          <w:p w14:paraId="7BFB158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适配 3 种或以上厂商的固态存储产品，且均不低于产品支持的固态存储设备规格</w:t>
            </w:r>
          </w:p>
        </w:tc>
      </w:tr>
      <w:tr w14:paraId="2DC5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36D123F3">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116</w:t>
            </w:r>
          </w:p>
        </w:tc>
        <w:tc>
          <w:tcPr>
            <w:tcW w:w="513" w:type="pct"/>
            <w:shd w:val="clear" w:color="auto" w:fill="auto"/>
            <w:vAlign w:val="center"/>
          </w:tcPr>
          <w:p w14:paraId="105CF281">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兼容要求</w:t>
            </w:r>
          </w:p>
        </w:tc>
        <w:tc>
          <w:tcPr>
            <w:tcW w:w="729" w:type="pct"/>
            <w:vMerge w:val="continue"/>
            <w:vAlign w:val="center"/>
          </w:tcPr>
          <w:p w14:paraId="58CFEE71">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3BFB4C01">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FCHBA 卡兼容性</w:t>
            </w:r>
          </w:p>
        </w:tc>
        <w:tc>
          <w:tcPr>
            <w:tcW w:w="2177" w:type="pct"/>
            <w:shd w:val="clear" w:color="auto" w:fill="auto"/>
            <w:vAlign w:val="center"/>
          </w:tcPr>
          <w:p w14:paraId="329F8BDE">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FC HBA 应适配两种或以上厂商产品</w:t>
            </w:r>
          </w:p>
        </w:tc>
      </w:tr>
      <w:tr w14:paraId="44E2C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124E698A">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117</w:t>
            </w:r>
          </w:p>
        </w:tc>
        <w:tc>
          <w:tcPr>
            <w:tcW w:w="513" w:type="pct"/>
            <w:shd w:val="clear" w:color="auto" w:fill="auto"/>
            <w:vAlign w:val="center"/>
          </w:tcPr>
          <w:p w14:paraId="65339C69">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兼容要求</w:t>
            </w:r>
          </w:p>
        </w:tc>
        <w:tc>
          <w:tcPr>
            <w:tcW w:w="729" w:type="pct"/>
            <w:vMerge w:val="continue"/>
            <w:vAlign w:val="center"/>
          </w:tcPr>
          <w:p w14:paraId="08045AB7">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2A18C78B">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RAID 卡兼容性</w:t>
            </w:r>
          </w:p>
        </w:tc>
        <w:tc>
          <w:tcPr>
            <w:tcW w:w="2177" w:type="pct"/>
            <w:shd w:val="clear" w:color="auto" w:fill="auto"/>
            <w:vAlign w:val="center"/>
          </w:tcPr>
          <w:p w14:paraId="13ABE7A8">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RAID卡应适配两种或以上厂商产品</w:t>
            </w:r>
          </w:p>
        </w:tc>
      </w:tr>
      <w:tr w14:paraId="4789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4B303133">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118</w:t>
            </w:r>
          </w:p>
        </w:tc>
        <w:tc>
          <w:tcPr>
            <w:tcW w:w="513" w:type="pct"/>
            <w:shd w:val="clear" w:color="auto" w:fill="auto"/>
            <w:vAlign w:val="center"/>
          </w:tcPr>
          <w:p w14:paraId="12DC5A6E">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兼容要求</w:t>
            </w:r>
          </w:p>
        </w:tc>
        <w:tc>
          <w:tcPr>
            <w:tcW w:w="729" w:type="pct"/>
            <w:vMerge w:val="continue"/>
            <w:vAlign w:val="center"/>
          </w:tcPr>
          <w:p w14:paraId="2A85ECD4">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6EDB43B3">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★网卡兼容性</w:t>
            </w:r>
          </w:p>
        </w:tc>
        <w:tc>
          <w:tcPr>
            <w:tcW w:w="2177" w:type="pct"/>
            <w:shd w:val="clear" w:color="auto" w:fill="auto"/>
            <w:vAlign w:val="center"/>
          </w:tcPr>
          <w:p w14:paraId="6CC11D31">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网卡应适配两种或以上厂商产品</w:t>
            </w:r>
          </w:p>
        </w:tc>
      </w:tr>
      <w:tr w14:paraId="312A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6" w:type="dxa"/>
            <w:shd w:val="clear" w:color="auto" w:fill="auto"/>
            <w:vAlign w:val="center"/>
          </w:tcPr>
          <w:p w14:paraId="0AD82B2C">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119</w:t>
            </w:r>
          </w:p>
        </w:tc>
        <w:tc>
          <w:tcPr>
            <w:tcW w:w="513" w:type="pct"/>
            <w:shd w:val="clear" w:color="auto" w:fill="auto"/>
            <w:vAlign w:val="center"/>
          </w:tcPr>
          <w:p w14:paraId="21FCED3C">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兼容要求</w:t>
            </w:r>
          </w:p>
        </w:tc>
        <w:tc>
          <w:tcPr>
            <w:tcW w:w="729" w:type="pct"/>
            <w:vMerge w:val="continue"/>
            <w:vAlign w:val="center"/>
          </w:tcPr>
          <w:p w14:paraId="7F25DDC0">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6AB90F79">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★功能卡兼容性</w:t>
            </w:r>
          </w:p>
        </w:tc>
        <w:tc>
          <w:tcPr>
            <w:tcW w:w="2177" w:type="pct"/>
            <w:shd w:val="clear" w:color="auto" w:fill="auto"/>
            <w:vAlign w:val="center"/>
          </w:tcPr>
          <w:p w14:paraId="5893978E">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内置或适配符合 PCIe 的功能卡，如：网络功能卡、存储功能卡及图形显示功能卡</w:t>
            </w:r>
          </w:p>
        </w:tc>
      </w:tr>
      <w:tr w14:paraId="3088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76" w:type="dxa"/>
            <w:shd w:val="clear" w:color="auto" w:fill="auto"/>
            <w:vAlign w:val="center"/>
          </w:tcPr>
          <w:p w14:paraId="36382B91">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120</w:t>
            </w:r>
          </w:p>
        </w:tc>
        <w:tc>
          <w:tcPr>
            <w:tcW w:w="513" w:type="pct"/>
            <w:shd w:val="clear" w:color="auto" w:fill="auto"/>
            <w:vAlign w:val="center"/>
          </w:tcPr>
          <w:p w14:paraId="23EC33E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兼容要求</w:t>
            </w:r>
          </w:p>
        </w:tc>
        <w:tc>
          <w:tcPr>
            <w:tcW w:w="729" w:type="pct"/>
            <w:shd w:val="clear" w:color="auto" w:fill="auto"/>
            <w:vAlign w:val="center"/>
          </w:tcPr>
          <w:p w14:paraId="378F7FFB">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外设兼容性</w:t>
            </w:r>
          </w:p>
        </w:tc>
        <w:tc>
          <w:tcPr>
            <w:tcW w:w="1341" w:type="pct"/>
            <w:shd w:val="clear" w:color="auto" w:fill="auto"/>
            <w:vAlign w:val="center"/>
          </w:tcPr>
          <w:p w14:paraId="172D84F8">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★外设兼容性</w:t>
            </w:r>
          </w:p>
        </w:tc>
        <w:tc>
          <w:tcPr>
            <w:tcW w:w="2177" w:type="pct"/>
            <w:shd w:val="clear" w:color="auto" w:fill="auto"/>
            <w:vAlign w:val="center"/>
          </w:tcPr>
          <w:p w14:paraId="4852EE31">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兼容多种主流生产商的外部设备，包括显示器、键盘、鼠标、 闪存盘、移动硬盘、USB光驱及 KVM 等， 要求使用不同厂商的外部设备时，系统均能正常识别和安装驱动</w:t>
            </w:r>
          </w:p>
        </w:tc>
      </w:tr>
      <w:tr w14:paraId="7211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0693E4BE">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121</w:t>
            </w:r>
          </w:p>
        </w:tc>
        <w:tc>
          <w:tcPr>
            <w:tcW w:w="513" w:type="pct"/>
            <w:shd w:val="clear" w:color="auto" w:fill="auto"/>
            <w:vAlign w:val="center"/>
          </w:tcPr>
          <w:p w14:paraId="72BB10E8">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兼容要求</w:t>
            </w:r>
          </w:p>
        </w:tc>
        <w:tc>
          <w:tcPr>
            <w:tcW w:w="729" w:type="pct"/>
            <w:vMerge w:val="restart"/>
            <w:shd w:val="clear" w:color="auto" w:fill="auto"/>
            <w:vAlign w:val="center"/>
          </w:tcPr>
          <w:p w14:paraId="0D8483DA">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软件兼容性</w:t>
            </w:r>
          </w:p>
        </w:tc>
        <w:tc>
          <w:tcPr>
            <w:tcW w:w="1341" w:type="pct"/>
            <w:shd w:val="clear" w:color="auto" w:fill="auto"/>
            <w:vAlign w:val="center"/>
          </w:tcPr>
          <w:p w14:paraId="2FC30781">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★数据库兼容</w:t>
            </w:r>
          </w:p>
        </w:tc>
        <w:tc>
          <w:tcPr>
            <w:tcW w:w="2177" w:type="pct"/>
            <w:shd w:val="clear" w:color="auto" w:fill="auto"/>
            <w:vAlign w:val="center"/>
          </w:tcPr>
          <w:p w14:paraId="6803BA60">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兼容 3 个及以上厂商的数据库产品</w:t>
            </w:r>
          </w:p>
        </w:tc>
      </w:tr>
      <w:tr w14:paraId="675BB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32A0F838">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122</w:t>
            </w:r>
          </w:p>
        </w:tc>
        <w:tc>
          <w:tcPr>
            <w:tcW w:w="513" w:type="pct"/>
            <w:shd w:val="clear" w:color="auto" w:fill="auto"/>
            <w:vAlign w:val="center"/>
          </w:tcPr>
          <w:p w14:paraId="645F4E1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兼容要求</w:t>
            </w:r>
          </w:p>
        </w:tc>
        <w:tc>
          <w:tcPr>
            <w:tcW w:w="729" w:type="pct"/>
            <w:vMerge w:val="continue"/>
            <w:vAlign w:val="center"/>
          </w:tcPr>
          <w:p w14:paraId="3743A8B7">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39AC3E96">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★中间件兼容</w:t>
            </w:r>
          </w:p>
        </w:tc>
        <w:tc>
          <w:tcPr>
            <w:tcW w:w="2177" w:type="pct"/>
            <w:shd w:val="clear" w:color="auto" w:fill="auto"/>
            <w:vAlign w:val="center"/>
          </w:tcPr>
          <w:p w14:paraId="1FE9CC9F">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兼容 3 个及以上厂商的中间件产品</w:t>
            </w:r>
          </w:p>
        </w:tc>
      </w:tr>
      <w:tr w14:paraId="41CD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44B7089F">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123</w:t>
            </w:r>
          </w:p>
        </w:tc>
        <w:tc>
          <w:tcPr>
            <w:tcW w:w="513" w:type="pct"/>
            <w:shd w:val="clear" w:color="auto" w:fill="auto"/>
            <w:vAlign w:val="center"/>
          </w:tcPr>
          <w:p w14:paraId="3CD29228">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兼容要求</w:t>
            </w:r>
          </w:p>
        </w:tc>
        <w:tc>
          <w:tcPr>
            <w:tcW w:w="729" w:type="pct"/>
            <w:vMerge w:val="continue"/>
            <w:vAlign w:val="center"/>
          </w:tcPr>
          <w:p w14:paraId="753DCC90">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5EDDADD1">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★平台软件兼容</w:t>
            </w:r>
          </w:p>
        </w:tc>
        <w:tc>
          <w:tcPr>
            <w:tcW w:w="2177" w:type="pct"/>
            <w:shd w:val="clear" w:color="auto" w:fill="auto"/>
            <w:vAlign w:val="center"/>
          </w:tcPr>
          <w:p w14:paraId="79620E5A">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兼容 3 个及以上厂商的大数据平台</w:t>
            </w:r>
          </w:p>
        </w:tc>
      </w:tr>
      <w:tr w14:paraId="6D160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06BFF0EC">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124</w:t>
            </w:r>
          </w:p>
        </w:tc>
        <w:tc>
          <w:tcPr>
            <w:tcW w:w="513" w:type="pct"/>
            <w:shd w:val="clear" w:color="auto" w:fill="auto"/>
            <w:vAlign w:val="center"/>
          </w:tcPr>
          <w:p w14:paraId="0C8A4D21">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兼容要求</w:t>
            </w:r>
          </w:p>
        </w:tc>
        <w:tc>
          <w:tcPr>
            <w:tcW w:w="729" w:type="pct"/>
            <w:vMerge w:val="continue"/>
            <w:vAlign w:val="center"/>
          </w:tcPr>
          <w:p w14:paraId="30BD91BA">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738C62E3">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虚拟化软件兼容</w:t>
            </w:r>
          </w:p>
        </w:tc>
        <w:tc>
          <w:tcPr>
            <w:tcW w:w="2177" w:type="pct"/>
            <w:shd w:val="clear" w:color="auto" w:fill="auto"/>
            <w:vAlign w:val="center"/>
          </w:tcPr>
          <w:p w14:paraId="6BBA81E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兼容2款及以上虚拟化软件</w:t>
            </w:r>
          </w:p>
        </w:tc>
      </w:tr>
      <w:tr w14:paraId="4AA3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01786A12">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125</w:t>
            </w:r>
          </w:p>
        </w:tc>
        <w:tc>
          <w:tcPr>
            <w:tcW w:w="513" w:type="pct"/>
            <w:shd w:val="clear" w:color="auto" w:fill="auto"/>
            <w:vAlign w:val="center"/>
          </w:tcPr>
          <w:p w14:paraId="0389E8EB">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可靠性要求</w:t>
            </w:r>
          </w:p>
        </w:tc>
        <w:tc>
          <w:tcPr>
            <w:tcW w:w="729" w:type="pct"/>
            <w:shd w:val="clear" w:color="auto" w:fill="auto"/>
            <w:vAlign w:val="center"/>
          </w:tcPr>
          <w:p w14:paraId="5CB93193">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存储可靠性要求</w:t>
            </w:r>
          </w:p>
        </w:tc>
        <w:tc>
          <w:tcPr>
            <w:tcW w:w="1341" w:type="pct"/>
            <w:shd w:val="clear" w:color="auto" w:fill="auto"/>
            <w:vAlign w:val="center"/>
          </w:tcPr>
          <w:p w14:paraId="47AFAE33">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SATASSD 可靠性</w:t>
            </w:r>
          </w:p>
        </w:tc>
        <w:tc>
          <w:tcPr>
            <w:tcW w:w="2177" w:type="pct"/>
            <w:shd w:val="clear" w:color="auto" w:fill="auto"/>
            <w:vAlign w:val="center"/>
          </w:tcPr>
          <w:p w14:paraId="39BAB44B">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SSD的m1值（MTBF的不可接受值）不低于200000h</w:t>
            </w:r>
          </w:p>
        </w:tc>
      </w:tr>
      <w:tr w14:paraId="2926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7A7126C9">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126</w:t>
            </w:r>
          </w:p>
        </w:tc>
        <w:tc>
          <w:tcPr>
            <w:tcW w:w="513" w:type="pct"/>
            <w:shd w:val="clear" w:color="auto" w:fill="auto"/>
            <w:vAlign w:val="center"/>
          </w:tcPr>
          <w:p w14:paraId="61E9E13B">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可靠性要求</w:t>
            </w:r>
          </w:p>
        </w:tc>
        <w:tc>
          <w:tcPr>
            <w:tcW w:w="729" w:type="pct"/>
            <w:vMerge w:val="restart"/>
            <w:shd w:val="clear" w:color="auto" w:fill="auto"/>
            <w:vAlign w:val="center"/>
          </w:tcPr>
          <w:p w14:paraId="64728A25">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整机可靠性要求</w:t>
            </w:r>
          </w:p>
        </w:tc>
        <w:tc>
          <w:tcPr>
            <w:tcW w:w="1341" w:type="pct"/>
            <w:shd w:val="clear" w:color="auto" w:fill="auto"/>
            <w:vAlign w:val="center"/>
          </w:tcPr>
          <w:p w14:paraId="192A94FF">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★整机可靠性</w:t>
            </w:r>
          </w:p>
        </w:tc>
        <w:tc>
          <w:tcPr>
            <w:tcW w:w="2177" w:type="pct"/>
            <w:shd w:val="clear" w:color="auto" w:fill="auto"/>
            <w:vAlign w:val="center"/>
          </w:tcPr>
          <w:p w14:paraId="11A2AF2A">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m1值（MTBF的不可接受值）不得低于30000h</w:t>
            </w:r>
          </w:p>
        </w:tc>
      </w:tr>
      <w:tr w14:paraId="4E5E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4997751D">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127</w:t>
            </w:r>
          </w:p>
        </w:tc>
        <w:tc>
          <w:tcPr>
            <w:tcW w:w="513" w:type="pct"/>
            <w:shd w:val="clear" w:color="auto" w:fill="auto"/>
            <w:vAlign w:val="center"/>
          </w:tcPr>
          <w:p w14:paraId="5274AD01">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可靠性要求</w:t>
            </w:r>
          </w:p>
        </w:tc>
        <w:tc>
          <w:tcPr>
            <w:tcW w:w="729" w:type="pct"/>
            <w:vMerge w:val="continue"/>
            <w:vAlign w:val="center"/>
          </w:tcPr>
          <w:p w14:paraId="611DE68A">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53221A8B">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★风扇可靠性</w:t>
            </w:r>
          </w:p>
        </w:tc>
        <w:tc>
          <w:tcPr>
            <w:tcW w:w="2177" w:type="pct"/>
            <w:shd w:val="clear" w:color="auto" w:fill="auto"/>
            <w:vAlign w:val="center"/>
          </w:tcPr>
          <w:p w14:paraId="5E611B3D">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风扇寿命应不低于40000h</w:t>
            </w:r>
          </w:p>
        </w:tc>
      </w:tr>
      <w:tr w14:paraId="11B8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6" w:type="dxa"/>
            <w:shd w:val="clear" w:color="auto" w:fill="auto"/>
            <w:vAlign w:val="center"/>
          </w:tcPr>
          <w:p w14:paraId="286C4DD5">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128</w:t>
            </w:r>
          </w:p>
        </w:tc>
        <w:tc>
          <w:tcPr>
            <w:tcW w:w="513" w:type="pct"/>
            <w:shd w:val="clear" w:color="auto" w:fill="auto"/>
            <w:vAlign w:val="center"/>
          </w:tcPr>
          <w:p w14:paraId="5DF2BF7D">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可靠性要求</w:t>
            </w:r>
          </w:p>
        </w:tc>
        <w:tc>
          <w:tcPr>
            <w:tcW w:w="729" w:type="pct"/>
            <w:vMerge w:val="continue"/>
            <w:vAlign w:val="center"/>
          </w:tcPr>
          <w:p w14:paraId="44A919D1">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265046FC">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★部件可靠性</w:t>
            </w:r>
          </w:p>
        </w:tc>
        <w:tc>
          <w:tcPr>
            <w:tcW w:w="2177" w:type="pct"/>
            <w:shd w:val="clear" w:color="auto" w:fill="auto"/>
            <w:vAlign w:val="center"/>
          </w:tcPr>
          <w:p w14:paraId="70C00623">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支持硬盘、 电源 、风扇热插拔(内置风扇除外)，并具有冗余设计</w:t>
            </w:r>
          </w:p>
        </w:tc>
      </w:tr>
      <w:tr w14:paraId="6A04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6" w:type="dxa"/>
            <w:shd w:val="clear" w:color="auto" w:fill="auto"/>
            <w:vAlign w:val="center"/>
          </w:tcPr>
          <w:p w14:paraId="6BA1A041">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129</w:t>
            </w:r>
          </w:p>
        </w:tc>
        <w:tc>
          <w:tcPr>
            <w:tcW w:w="513" w:type="pct"/>
            <w:shd w:val="clear" w:color="auto" w:fill="auto"/>
            <w:vAlign w:val="center"/>
          </w:tcPr>
          <w:p w14:paraId="328DDE5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包装及运输要求</w:t>
            </w:r>
          </w:p>
        </w:tc>
        <w:tc>
          <w:tcPr>
            <w:tcW w:w="729" w:type="pct"/>
            <w:shd w:val="clear" w:color="auto" w:fill="auto"/>
            <w:vAlign w:val="center"/>
          </w:tcPr>
          <w:p w14:paraId="07978BD9">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包装及运输要求</w:t>
            </w:r>
          </w:p>
        </w:tc>
        <w:tc>
          <w:tcPr>
            <w:tcW w:w="1341" w:type="pct"/>
            <w:shd w:val="clear" w:color="auto" w:fill="auto"/>
            <w:vAlign w:val="center"/>
          </w:tcPr>
          <w:p w14:paraId="5BDCA7F2">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★标志、包装、运输和贮存</w:t>
            </w:r>
          </w:p>
        </w:tc>
        <w:tc>
          <w:tcPr>
            <w:tcW w:w="2177" w:type="pct"/>
            <w:shd w:val="clear" w:color="auto" w:fill="auto"/>
            <w:vAlign w:val="center"/>
          </w:tcPr>
          <w:p w14:paraId="3B23DDE2">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符合GB/T9813.3和商品包装政府采购需求标准的相关规定</w:t>
            </w:r>
          </w:p>
        </w:tc>
      </w:tr>
      <w:tr w14:paraId="3797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trPr>
        <w:tc>
          <w:tcPr>
            <w:tcW w:w="576" w:type="dxa"/>
            <w:shd w:val="clear" w:color="auto" w:fill="auto"/>
            <w:vAlign w:val="center"/>
          </w:tcPr>
          <w:p w14:paraId="36B34E94">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130</w:t>
            </w:r>
          </w:p>
        </w:tc>
        <w:tc>
          <w:tcPr>
            <w:tcW w:w="513" w:type="pct"/>
            <w:shd w:val="clear" w:color="auto" w:fill="auto"/>
            <w:vAlign w:val="center"/>
          </w:tcPr>
          <w:p w14:paraId="17DA488D">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服务要求</w:t>
            </w:r>
          </w:p>
        </w:tc>
        <w:tc>
          <w:tcPr>
            <w:tcW w:w="729" w:type="pct"/>
            <w:vMerge w:val="restart"/>
            <w:shd w:val="clear" w:color="auto" w:fill="auto"/>
            <w:vAlign w:val="center"/>
          </w:tcPr>
          <w:p w14:paraId="2C1E1953">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服务响应</w:t>
            </w:r>
          </w:p>
        </w:tc>
        <w:tc>
          <w:tcPr>
            <w:tcW w:w="1341" w:type="pct"/>
            <w:shd w:val="clear" w:color="auto" w:fill="auto"/>
            <w:vAlign w:val="center"/>
          </w:tcPr>
          <w:p w14:paraId="19BE3F4D">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★服务响应</w:t>
            </w:r>
          </w:p>
        </w:tc>
        <w:tc>
          <w:tcPr>
            <w:tcW w:w="2177" w:type="pct"/>
            <w:shd w:val="clear" w:color="auto" w:fill="auto"/>
            <w:vAlign w:val="center"/>
          </w:tcPr>
          <w:p w14:paraId="328F1EA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a)提供电话、电子邮件、远程连接等多种形式服务；b)提供同城4h、异地12h技术响应服务，2个工作日解决问题，对于未能解决的问题和故障应提供可行的升级方案，并提供周转设备；c)建立全国技术服务体系和服务团体，符合专业服务体系标准要求，提供原厂中文服务；d)服务周期内提供产品的维修、换件和升级服务</w:t>
            </w:r>
          </w:p>
        </w:tc>
      </w:tr>
      <w:tr w14:paraId="34026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6" w:type="dxa"/>
            <w:shd w:val="clear" w:color="auto" w:fill="auto"/>
            <w:vAlign w:val="center"/>
          </w:tcPr>
          <w:p w14:paraId="515D00CA">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131</w:t>
            </w:r>
          </w:p>
        </w:tc>
        <w:tc>
          <w:tcPr>
            <w:tcW w:w="513" w:type="pct"/>
            <w:shd w:val="clear" w:color="auto" w:fill="auto"/>
            <w:vAlign w:val="center"/>
          </w:tcPr>
          <w:p w14:paraId="77F430FA">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服务要求</w:t>
            </w:r>
          </w:p>
        </w:tc>
        <w:tc>
          <w:tcPr>
            <w:tcW w:w="729" w:type="pct"/>
            <w:vMerge w:val="continue"/>
            <w:vAlign w:val="center"/>
          </w:tcPr>
          <w:p w14:paraId="6E07E0BA">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3F452DCA">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★培训服务</w:t>
            </w:r>
          </w:p>
        </w:tc>
        <w:tc>
          <w:tcPr>
            <w:tcW w:w="2177" w:type="pct"/>
            <w:shd w:val="clear" w:color="auto" w:fill="auto"/>
            <w:vAlign w:val="center"/>
          </w:tcPr>
          <w:p w14:paraId="5BFA7FB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供应商可提供培训材料、产品手册、培训视频等培训相关内容</w:t>
            </w:r>
          </w:p>
        </w:tc>
      </w:tr>
      <w:tr w14:paraId="4035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76" w:type="dxa"/>
            <w:shd w:val="clear" w:color="auto" w:fill="auto"/>
            <w:vAlign w:val="center"/>
          </w:tcPr>
          <w:p w14:paraId="5B4763B1">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132</w:t>
            </w:r>
          </w:p>
        </w:tc>
        <w:tc>
          <w:tcPr>
            <w:tcW w:w="513" w:type="pct"/>
            <w:shd w:val="clear" w:color="auto" w:fill="auto"/>
            <w:vAlign w:val="center"/>
          </w:tcPr>
          <w:p w14:paraId="5CC870FD">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服务要求</w:t>
            </w:r>
          </w:p>
        </w:tc>
        <w:tc>
          <w:tcPr>
            <w:tcW w:w="729" w:type="pct"/>
            <w:shd w:val="clear" w:color="auto" w:fill="auto"/>
            <w:vAlign w:val="center"/>
          </w:tcPr>
          <w:p w14:paraId="10A38523">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服务周期</w:t>
            </w:r>
          </w:p>
        </w:tc>
        <w:tc>
          <w:tcPr>
            <w:tcW w:w="1341" w:type="pct"/>
            <w:shd w:val="clear" w:color="auto" w:fill="auto"/>
            <w:vAlign w:val="center"/>
          </w:tcPr>
          <w:p w14:paraId="6C37406A">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★服务周期</w:t>
            </w:r>
          </w:p>
        </w:tc>
        <w:tc>
          <w:tcPr>
            <w:tcW w:w="2177" w:type="pct"/>
            <w:shd w:val="clear" w:color="auto" w:fill="auto"/>
            <w:vAlign w:val="center"/>
          </w:tcPr>
          <w:p w14:paraId="1EAF2543">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a)产品免费服务周期（含换件和维修）应不小于3年；b)设备停产后继续提供质量保障服务（含备品备件），服务终止时间与最后一批设备交付时间间隔不低于6年；c)产品停止服务时间应提前1年告知客户；d)产品发布日期需在随机文件中明确</w:t>
            </w:r>
          </w:p>
        </w:tc>
      </w:tr>
      <w:tr w14:paraId="5E2D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76" w:type="dxa"/>
            <w:shd w:val="clear" w:color="auto" w:fill="auto"/>
            <w:vAlign w:val="center"/>
          </w:tcPr>
          <w:p w14:paraId="531E1BED">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133</w:t>
            </w:r>
          </w:p>
        </w:tc>
        <w:tc>
          <w:tcPr>
            <w:tcW w:w="513" w:type="pct"/>
            <w:shd w:val="clear" w:color="auto" w:fill="auto"/>
            <w:vAlign w:val="center"/>
          </w:tcPr>
          <w:p w14:paraId="452229F1">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服务要求</w:t>
            </w:r>
          </w:p>
        </w:tc>
        <w:tc>
          <w:tcPr>
            <w:tcW w:w="729" w:type="pct"/>
            <w:vMerge w:val="restart"/>
            <w:shd w:val="clear" w:color="auto" w:fill="auto"/>
            <w:vAlign w:val="center"/>
          </w:tcPr>
          <w:p w14:paraId="4AAFCA08">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服务工具要求</w:t>
            </w:r>
          </w:p>
        </w:tc>
        <w:tc>
          <w:tcPr>
            <w:tcW w:w="1341" w:type="pct"/>
            <w:shd w:val="clear" w:color="auto" w:fill="auto"/>
            <w:vAlign w:val="center"/>
          </w:tcPr>
          <w:p w14:paraId="54E679AF">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★工具要求</w:t>
            </w:r>
          </w:p>
        </w:tc>
        <w:tc>
          <w:tcPr>
            <w:tcW w:w="2177" w:type="pct"/>
            <w:shd w:val="clear" w:color="auto" w:fill="auto"/>
            <w:vAlign w:val="center"/>
          </w:tcPr>
          <w:p w14:paraId="28D7142E">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供应商提供设置服务器硬件、辅助操作系统安装等功能的辅助工具和管理软件。且随附软件应具有合法授权或版权。</w:t>
            </w:r>
          </w:p>
        </w:tc>
      </w:tr>
      <w:tr w14:paraId="46C9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76" w:type="dxa"/>
            <w:shd w:val="clear" w:color="auto" w:fill="auto"/>
            <w:vAlign w:val="center"/>
          </w:tcPr>
          <w:p w14:paraId="22255AF0">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134</w:t>
            </w:r>
          </w:p>
        </w:tc>
        <w:tc>
          <w:tcPr>
            <w:tcW w:w="513" w:type="pct"/>
            <w:shd w:val="clear" w:color="auto" w:fill="auto"/>
            <w:vAlign w:val="center"/>
          </w:tcPr>
          <w:p w14:paraId="0E1E6582">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服务要求</w:t>
            </w:r>
          </w:p>
        </w:tc>
        <w:tc>
          <w:tcPr>
            <w:tcW w:w="729" w:type="pct"/>
            <w:vMerge w:val="continue"/>
            <w:vAlign w:val="center"/>
          </w:tcPr>
          <w:p w14:paraId="3F28E82B">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1F5F9F73">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辅助工具</w:t>
            </w:r>
          </w:p>
        </w:tc>
        <w:tc>
          <w:tcPr>
            <w:tcW w:w="2177" w:type="pct"/>
            <w:shd w:val="clear" w:color="auto" w:fill="auto"/>
            <w:vAlign w:val="center"/>
          </w:tcPr>
          <w:p w14:paraId="3274D2D9">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支持如下功能a)本地的数据备份和还原功能；b)网络的数据备份和还原功能；c)服务器操作系统的自动安装功能；d)服务器所配硬件需要的驱动程序和系统补丁</w:t>
            </w:r>
          </w:p>
        </w:tc>
      </w:tr>
      <w:tr w14:paraId="15A7B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76" w:type="dxa"/>
            <w:shd w:val="clear" w:color="auto" w:fill="auto"/>
            <w:vAlign w:val="center"/>
          </w:tcPr>
          <w:p w14:paraId="40336D59">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135</w:t>
            </w:r>
          </w:p>
        </w:tc>
        <w:tc>
          <w:tcPr>
            <w:tcW w:w="513" w:type="pct"/>
            <w:shd w:val="clear" w:color="auto" w:fill="auto"/>
            <w:vAlign w:val="center"/>
          </w:tcPr>
          <w:p w14:paraId="0FF6C71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服务要求</w:t>
            </w:r>
          </w:p>
        </w:tc>
        <w:tc>
          <w:tcPr>
            <w:tcW w:w="729" w:type="pct"/>
            <w:vMerge w:val="continue"/>
            <w:vAlign w:val="center"/>
          </w:tcPr>
          <w:p w14:paraId="093FF248">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753E677B">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★驱动安装升级指引</w:t>
            </w:r>
          </w:p>
        </w:tc>
        <w:tc>
          <w:tcPr>
            <w:tcW w:w="2177" w:type="pct"/>
            <w:shd w:val="clear" w:color="auto" w:fill="auto"/>
            <w:vAlign w:val="center"/>
          </w:tcPr>
          <w:p w14:paraId="7614C3C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供应商提供出厂安装的配件所需的驱动程序，形式包括但不限于驱动光盘、驱动下载链接等。其他配件应提供指引。</w:t>
            </w:r>
          </w:p>
        </w:tc>
      </w:tr>
      <w:tr w14:paraId="0EB9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5D49316F">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136</w:t>
            </w:r>
          </w:p>
        </w:tc>
        <w:tc>
          <w:tcPr>
            <w:tcW w:w="513" w:type="pct"/>
            <w:shd w:val="clear" w:color="auto" w:fill="auto"/>
            <w:vAlign w:val="center"/>
          </w:tcPr>
          <w:p w14:paraId="5BFA4916">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服务要求</w:t>
            </w:r>
          </w:p>
        </w:tc>
        <w:tc>
          <w:tcPr>
            <w:tcW w:w="729" w:type="pct"/>
            <w:vMerge w:val="continue"/>
            <w:vAlign w:val="center"/>
          </w:tcPr>
          <w:p w14:paraId="2BD2C20F">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4F6B96F6">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随机附开盖工具</w:t>
            </w:r>
          </w:p>
        </w:tc>
        <w:tc>
          <w:tcPr>
            <w:tcW w:w="2177" w:type="pct"/>
            <w:shd w:val="clear" w:color="auto" w:fill="auto"/>
            <w:vAlign w:val="center"/>
          </w:tcPr>
          <w:p w14:paraId="6D8B293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随服务器打包提供开机箱工具</w:t>
            </w:r>
          </w:p>
        </w:tc>
      </w:tr>
      <w:tr w14:paraId="1452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6DF24621">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137</w:t>
            </w:r>
          </w:p>
        </w:tc>
        <w:tc>
          <w:tcPr>
            <w:tcW w:w="513" w:type="pct"/>
            <w:shd w:val="clear" w:color="auto" w:fill="auto"/>
            <w:vAlign w:val="center"/>
          </w:tcPr>
          <w:p w14:paraId="02794CF0">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服务要求</w:t>
            </w:r>
          </w:p>
        </w:tc>
        <w:tc>
          <w:tcPr>
            <w:tcW w:w="729" w:type="pct"/>
            <w:vMerge w:val="continue"/>
            <w:vAlign w:val="center"/>
          </w:tcPr>
          <w:p w14:paraId="02894ADD">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6809B230">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代码迁移工具</w:t>
            </w:r>
          </w:p>
        </w:tc>
        <w:tc>
          <w:tcPr>
            <w:tcW w:w="2177" w:type="pct"/>
            <w:shd w:val="clear" w:color="auto" w:fill="auto"/>
            <w:vAlign w:val="center"/>
          </w:tcPr>
          <w:p w14:paraId="5705CB3A">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不涉及</w:t>
            </w:r>
          </w:p>
        </w:tc>
      </w:tr>
      <w:tr w14:paraId="7805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32D08DFE">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138</w:t>
            </w:r>
          </w:p>
        </w:tc>
        <w:tc>
          <w:tcPr>
            <w:tcW w:w="513" w:type="pct"/>
            <w:shd w:val="clear" w:color="auto" w:fill="auto"/>
            <w:vAlign w:val="center"/>
          </w:tcPr>
          <w:p w14:paraId="05E41089">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服务要求</w:t>
            </w:r>
          </w:p>
        </w:tc>
        <w:tc>
          <w:tcPr>
            <w:tcW w:w="729" w:type="pct"/>
            <w:vMerge w:val="continue"/>
            <w:vAlign w:val="center"/>
          </w:tcPr>
          <w:p w14:paraId="195B0148">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534CF2C2">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性能分析工具</w:t>
            </w:r>
          </w:p>
        </w:tc>
        <w:tc>
          <w:tcPr>
            <w:tcW w:w="2177" w:type="pct"/>
            <w:shd w:val="clear" w:color="auto" w:fill="auto"/>
            <w:vAlign w:val="center"/>
          </w:tcPr>
          <w:p w14:paraId="4A09E0E1">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不涉及</w:t>
            </w:r>
          </w:p>
        </w:tc>
      </w:tr>
      <w:tr w14:paraId="7F91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72FEF20D">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139</w:t>
            </w:r>
          </w:p>
        </w:tc>
        <w:tc>
          <w:tcPr>
            <w:tcW w:w="513" w:type="pct"/>
            <w:shd w:val="clear" w:color="auto" w:fill="auto"/>
            <w:vAlign w:val="center"/>
          </w:tcPr>
          <w:p w14:paraId="3998DFEC">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服务要求</w:t>
            </w:r>
          </w:p>
        </w:tc>
        <w:tc>
          <w:tcPr>
            <w:tcW w:w="729" w:type="pct"/>
            <w:vMerge w:val="continue"/>
            <w:vAlign w:val="center"/>
          </w:tcPr>
          <w:p w14:paraId="38D33CAC">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1ACB6775">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跨架构平台应用兼容</w:t>
            </w:r>
          </w:p>
        </w:tc>
        <w:tc>
          <w:tcPr>
            <w:tcW w:w="2177" w:type="pct"/>
            <w:shd w:val="clear" w:color="auto" w:fill="auto"/>
            <w:vAlign w:val="center"/>
          </w:tcPr>
          <w:p w14:paraId="084CA63C">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不涉及</w:t>
            </w:r>
          </w:p>
        </w:tc>
      </w:tr>
      <w:tr w14:paraId="7845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6" w:type="dxa"/>
            <w:shd w:val="clear" w:color="auto" w:fill="auto"/>
            <w:vAlign w:val="center"/>
          </w:tcPr>
          <w:p w14:paraId="1ECFD40B">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140</w:t>
            </w:r>
          </w:p>
        </w:tc>
        <w:tc>
          <w:tcPr>
            <w:tcW w:w="513" w:type="pct"/>
            <w:shd w:val="clear" w:color="auto" w:fill="auto"/>
            <w:vAlign w:val="center"/>
          </w:tcPr>
          <w:p w14:paraId="2606748D">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服务要求</w:t>
            </w:r>
          </w:p>
        </w:tc>
        <w:tc>
          <w:tcPr>
            <w:tcW w:w="729" w:type="pct"/>
            <w:vMerge w:val="continue"/>
            <w:vAlign w:val="center"/>
          </w:tcPr>
          <w:p w14:paraId="60B214CB">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2AD4AC3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★管理软件</w:t>
            </w:r>
          </w:p>
        </w:tc>
        <w:tc>
          <w:tcPr>
            <w:tcW w:w="2177" w:type="pct"/>
            <w:shd w:val="clear" w:color="auto" w:fill="auto"/>
            <w:vAlign w:val="center"/>
          </w:tcPr>
          <w:p w14:paraId="3BDF156B">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具备资源管理、系统管理、性能监控、健康监控、基于网络控制、报警设置功能</w:t>
            </w:r>
          </w:p>
        </w:tc>
      </w:tr>
      <w:tr w14:paraId="35DA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6" w:type="dxa"/>
            <w:shd w:val="clear" w:color="auto" w:fill="auto"/>
            <w:vAlign w:val="center"/>
          </w:tcPr>
          <w:p w14:paraId="1A2BD936">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141</w:t>
            </w:r>
          </w:p>
        </w:tc>
        <w:tc>
          <w:tcPr>
            <w:tcW w:w="513" w:type="pct"/>
            <w:shd w:val="clear" w:color="auto" w:fill="auto"/>
            <w:vAlign w:val="center"/>
          </w:tcPr>
          <w:p w14:paraId="1F38A8C9">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服务要求</w:t>
            </w:r>
          </w:p>
        </w:tc>
        <w:tc>
          <w:tcPr>
            <w:tcW w:w="729" w:type="pct"/>
            <w:vMerge w:val="restart"/>
            <w:shd w:val="clear" w:color="auto" w:fill="auto"/>
            <w:vAlign w:val="center"/>
          </w:tcPr>
          <w:p w14:paraId="5BAFFB63">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增值服务</w:t>
            </w:r>
          </w:p>
        </w:tc>
        <w:tc>
          <w:tcPr>
            <w:tcW w:w="1341" w:type="pct"/>
            <w:shd w:val="clear" w:color="auto" w:fill="auto"/>
            <w:vAlign w:val="center"/>
          </w:tcPr>
          <w:p w14:paraId="094BF30A">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★厂家升级产品软件与扩容服务</w:t>
            </w:r>
          </w:p>
        </w:tc>
        <w:tc>
          <w:tcPr>
            <w:tcW w:w="2177" w:type="pct"/>
            <w:shd w:val="clear" w:color="auto" w:fill="auto"/>
            <w:vAlign w:val="center"/>
          </w:tcPr>
          <w:p w14:paraId="41B77397">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供应商提供原厂级的部件/软件产品升级和扩容能力</w:t>
            </w:r>
          </w:p>
        </w:tc>
      </w:tr>
      <w:tr w14:paraId="6458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6" w:type="dxa"/>
            <w:shd w:val="clear" w:color="auto" w:fill="auto"/>
            <w:vAlign w:val="center"/>
          </w:tcPr>
          <w:p w14:paraId="11001C60">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142</w:t>
            </w:r>
          </w:p>
        </w:tc>
        <w:tc>
          <w:tcPr>
            <w:tcW w:w="513" w:type="pct"/>
            <w:shd w:val="clear" w:color="auto" w:fill="auto"/>
            <w:vAlign w:val="center"/>
          </w:tcPr>
          <w:p w14:paraId="4C4D3C82">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服务要求</w:t>
            </w:r>
          </w:p>
        </w:tc>
        <w:tc>
          <w:tcPr>
            <w:tcW w:w="729" w:type="pct"/>
            <w:vMerge w:val="continue"/>
            <w:vAlign w:val="center"/>
          </w:tcPr>
          <w:p w14:paraId="4A171274">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722BD410">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服务保障升级</w:t>
            </w:r>
          </w:p>
        </w:tc>
        <w:tc>
          <w:tcPr>
            <w:tcW w:w="2177" w:type="pct"/>
            <w:shd w:val="clear" w:color="auto" w:fill="auto"/>
            <w:vAlign w:val="center"/>
          </w:tcPr>
          <w:p w14:paraId="1673678C">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供应商有偿提供远程技术支持、软件授权服务、备件更换服务、现场支承服务</w:t>
            </w:r>
          </w:p>
        </w:tc>
      </w:tr>
      <w:tr w14:paraId="3E43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76" w:type="dxa"/>
            <w:shd w:val="clear" w:color="auto" w:fill="auto"/>
            <w:vAlign w:val="center"/>
          </w:tcPr>
          <w:p w14:paraId="21A5D75E">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143</w:t>
            </w:r>
          </w:p>
        </w:tc>
        <w:tc>
          <w:tcPr>
            <w:tcW w:w="513" w:type="pct"/>
            <w:shd w:val="clear" w:color="auto" w:fill="auto"/>
            <w:vAlign w:val="center"/>
          </w:tcPr>
          <w:p w14:paraId="7243EAC4">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服务要求</w:t>
            </w:r>
          </w:p>
        </w:tc>
        <w:tc>
          <w:tcPr>
            <w:tcW w:w="729" w:type="pct"/>
            <w:vMerge w:val="continue"/>
            <w:vAlign w:val="center"/>
          </w:tcPr>
          <w:p w14:paraId="32925531">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32DB1989">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★提供上门服务</w:t>
            </w:r>
          </w:p>
        </w:tc>
        <w:tc>
          <w:tcPr>
            <w:tcW w:w="2177" w:type="pct"/>
            <w:shd w:val="clear" w:color="auto" w:fill="auto"/>
            <w:vAlign w:val="center"/>
          </w:tcPr>
          <w:p w14:paraId="1A6F635B">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供应商具备提供上门服务的能力(可收费)</w:t>
            </w:r>
          </w:p>
        </w:tc>
      </w:tr>
      <w:tr w14:paraId="59F2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6" w:type="dxa"/>
            <w:shd w:val="clear" w:color="auto" w:fill="auto"/>
            <w:vAlign w:val="center"/>
          </w:tcPr>
          <w:p w14:paraId="379D8B75">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144</w:t>
            </w:r>
          </w:p>
        </w:tc>
        <w:tc>
          <w:tcPr>
            <w:tcW w:w="513" w:type="pct"/>
            <w:shd w:val="clear" w:color="auto" w:fill="auto"/>
            <w:vAlign w:val="center"/>
          </w:tcPr>
          <w:p w14:paraId="31FBE88A">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服务要求</w:t>
            </w:r>
          </w:p>
        </w:tc>
        <w:tc>
          <w:tcPr>
            <w:tcW w:w="729" w:type="pct"/>
            <w:vMerge w:val="continue"/>
            <w:vAlign w:val="center"/>
          </w:tcPr>
          <w:p w14:paraId="2814B23A">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3D062879">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业务场景性能优化服务及整体架构升级服务</w:t>
            </w:r>
          </w:p>
        </w:tc>
        <w:tc>
          <w:tcPr>
            <w:tcW w:w="2177" w:type="pct"/>
            <w:shd w:val="clear" w:color="auto" w:fill="auto"/>
            <w:vAlign w:val="center"/>
          </w:tcPr>
          <w:p w14:paraId="304B75C9">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供应商提供针对特定业务场景性能优化服务及整体架构升级服务</w:t>
            </w:r>
          </w:p>
        </w:tc>
      </w:tr>
      <w:tr w14:paraId="5B5A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76" w:type="dxa"/>
            <w:shd w:val="clear" w:color="auto" w:fill="auto"/>
            <w:vAlign w:val="center"/>
          </w:tcPr>
          <w:p w14:paraId="45314A7E">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145</w:t>
            </w:r>
          </w:p>
        </w:tc>
        <w:tc>
          <w:tcPr>
            <w:tcW w:w="513" w:type="pct"/>
            <w:shd w:val="clear" w:color="auto" w:fill="auto"/>
            <w:vAlign w:val="center"/>
          </w:tcPr>
          <w:p w14:paraId="0F0398AC">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供保要求</w:t>
            </w:r>
          </w:p>
        </w:tc>
        <w:tc>
          <w:tcPr>
            <w:tcW w:w="729" w:type="pct"/>
            <w:vMerge w:val="restart"/>
            <w:shd w:val="clear" w:color="auto" w:fill="auto"/>
            <w:vAlign w:val="center"/>
          </w:tcPr>
          <w:p w14:paraId="1804AA3F">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供应链质量</w:t>
            </w:r>
          </w:p>
        </w:tc>
        <w:tc>
          <w:tcPr>
            <w:tcW w:w="1341" w:type="pct"/>
            <w:shd w:val="clear" w:color="auto" w:fill="auto"/>
            <w:vAlign w:val="center"/>
          </w:tcPr>
          <w:p w14:paraId="0603E95D">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★抗干扰性</w:t>
            </w:r>
          </w:p>
        </w:tc>
        <w:tc>
          <w:tcPr>
            <w:tcW w:w="2177" w:type="pct"/>
            <w:shd w:val="clear" w:color="auto" w:fill="auto"/>
            <w:vAlign w:val="center"/>
          </w:tcPr>
          <w:p w14:paraId="5F1C4A48">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当产品部件出现供应风险时，应通知校方并提供风险应对方案确保产品的服务保障，必要时应停止相关受影响产品的销售</w:t>
            </w:r>
          </w:p>
        </w:tc>
      </w:tr>
      <w:tr w14:paraId="28B6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76" w:type="dxa"/>
            <w:shd w:val="clear" w:color="auto" w:fill="auto"/>
            <w:vAlign w:val="center"/>
          </w:tcPr>
          <w:p w14:paraId="3ECCEB87">
            <w:pPr>
              <w:keepNext w:val="0"/>
              <w:keepLines w:val="0"/>
              <w:widowControl/>
              <w:suppressLineNumbers w:val="0"/>
              <w:jc w:val="right"/>
              <w:textAlignment w:val="center"/>
              <w:rPr>
                <w:rFonts w:ascii="宋体" w:hAnsi="宋体" w:cs="宋体"/>
                <w:color w:val="000000"/>
                <w:kern w:val="0"/>
                <w:szCs w:val="24"/>
                <w14:ligatures w14:val="none"/>
              </w:rPr>
            </w:pPr>
            <w:r>
              <w:rPr>
                <w:rFonts w:hint="eastAsia" w:ascii="宋体" w:hAnsi="宋体" w:eastAsia="宋体" w:cs="宋体"/>
                <w:i w:val="0"/>
                <w:iCs w:val="0"/>
                <w:color w:val="000000"/>
                <w:kern w:val="0"/>
                <w:sz w:val="22"/>
                <w:szCs w:val="22"/>
                <w:u w:val="none"/>
                <w:lang w:val="en-US" w:eastAsia="zh-CN" w:bidi="ar"/>
                <w14:ligatures w14:val="standardContextual"/>
              </w:rPr>
              <w:t>146</w:t>
            </w:r>
          </w:p>
        </w:tc>
        <w:tc>
          <w:tcPr>
            <w:tcW w:w="513" w:type="pct"/>
            <w:shd w:val="clear" w:color="auto" w:fill="auto"/>
            <w:vAlign w:val="center"/>
          </w:tcPr>
          <w:p w14:paraId="56747262">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供保要求</w:t>
            </w:r>
          </w:p>
        </w:tc>
        <w:tc>
          <w:tcPr>
            <w:tcW w:w="729" w:type="pct"/>
            <w:vMerge w:val="continue"/>
            <w:vAlign w:val="center"/>
          </w:tcPr>
          <w:p w14:paraId="4C54F95C">
            <w:pPr>
              <w:widowControl/>
              <w:spacing w:line="360" w:lineRule="auto"/>
              <w:jc w:val="left"/>
              <w:rPr>
                <w:rFonts w:ascii="宋体" w:hAnsi="宋体" w:cs="宋体"/>
                <w:color w:val="000000"/>
                <w:kern w:val="0"/>
                <w:szCs w:val="24"/>
                <w14:ligatures w14:val="none"/>
              </w:rPr>
            </w:pPr>
          </w:p>
        </w:tc>
        <w:tc>
          <w:tcPr>
            <w:tcW w:w="1341" w:type="pct"/>
            <w:shd w:val="clear" w:color="auto" w:fill="auto"/>
            <w:vAlign w:val="center"/>
          </w:tcPr>
          <w:p w14:paraId="72EF1D81">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★供应能力证明</w:t>
            </w:r>
          </w:p>
        </w:tc>
        <w:tc>
          <w:tcPr>
            <w:tcW w:w="2177" w:type="pct"/>
            <w:shd w:val="clear" w:color="auto" w:fill="auto"/>
            <w:vAlign w:val="center"/>
          </w:tcPr>
          <w:p w14:paraId="5A4BCAF5">
            <w:pPr>
              <w:widowControl/>
              <w:spacing w:line="360" w:lineRule="auto"/>
              <w:jc w:val="center"/>
              <w:rPr>
                <w:rFonts w:ascii="宋体" w:hAnsi="宋体" w:cs="宋体"/>
                <w:color w:val="000000"/>
                <w:kern w:val="0"/>
                <w:szCs w:val="24"/>
                <w14:ligatures w14:val="none"/>
              </w:rPr>
            </w:pPr>
            <w:r>
              <w:rPr>
                <w:rFonts w:hint="eastAsia" w:ascii="宋体" w:hAnsi="宋体" w:cs="宋体"/>
                <w:color w:val="000000"/>
                <w:kern w:val="0"/>
                <w:szCs w:val="24"/>
                <w14:ligatures w14:val="none"/>
              </w:rPr>
              <w:t>供应商提供供应链稳定承诺书，确保产品的部件在产品服务周期内稳定供货</w:t>
            </w:r>
          </w:p>
        </w:tc>
      </w:tr>
    </w:tbl>
    <w:p w14:paraId="61194BA0"/>
    <w:p w14:paraId="3AA8F3DC">
      <w:pPr>
        <w:pStyle w:val="4"/>
        <w:numPr>
          <w:ilvl w:val="0"/>
          <w:numId w:val="0"/>
        </w:num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2</w:t>
      </w:r>
      <w:r>
        <w:rPr>
          <w:rFonts w:hint="eastAsia" w:ascii="宋体" w:hAnsi="宋体" w:eastAsia="宋体" w:cs="Times New Roman"/>
          <w:color w:val="auto"/>
          <w:sz w:val="24"/>
          <w:szCs w:val="24"/>
        </w:rPr>
        <w:t>、数据库高可用软件</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6910"/>
      </w:tblGrid>
      <w:tr w14:paraId="3038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420545CF">
            <w:pPr>
              <w:widowControl/>
              <w:spacing w:line="360" w:lineRule="auto"/>
              <w:jc w:val="center"/>
              <w:rPr>
                <w:rFonts w:ascii="宋体" w:hAnsi="宋体"/>
                <w:b/>
                <w:szCs w:val="24"/>
              </w:rPr>
            </w:pPr>
            <w:r>
              <w:rPr>
                <w:rFonts w:hint="eastAsia" w:ascii="宋体" w:hAnsi="宋体"/>
                <w:b/>
                <w:szCs w:val="24"/>
              </w:rPr>
              <w:t>指标项</w:t>
            </w:r>
          </w:p>
        </w:tc>
        <w:tc>
          <w:tcPr>
            <w:tcW w:w="6727"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5F53E300">
            <w:pPr>
              <w:widowControl/>
              <w:spacing w:line="360" w:lineRule="auto"/>
              <w:jc w:val="center"/>
              <w:rPr>
                <w:rFonts w:ascii="宋体" w:hAnsi="宋体" w:cs="宋体"/>
                <w:b/>
                <w:kern w:val="0"/>
                <w:szCs w:val="24"/>
              </w:rPr>
            </w:pPr>
            <w:r>
              <w:rPr>
                <w:rFonts w:hint="eastAsia" w:ascii="宋体" w:hAnsi="宋体"/>
                <w:b/>
                <w:szCs w:val="24"/>
              </w:rPr>
              <w:t>指标要求</w:t>
            </w:r>
          </w:p>
        </w:tc>
      </w:tr>
      <w:tr w14:paraId="4ABB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14:paraId="6CAA47AF">
            <w:pPr>
              <w:spacing w:line="360" w:lineRule="auto"/>
              <w:jc w:val="center"/>
              <w:rPr>
                <w:rFonts w:ascii="宋体" w:hAnsi="宋体"/>
                <w:b/>
                <w:bCs/>
                <w:szCs w:val="24"/>
              </w:rPr>
            </w:pPr>
            <w:r>
              <w:rPr>
                <w:rFonts w:hint="eastAsia" w:ascii="宋体" w:hAnsi="宋体"/>
                <w:b/>
                <w:bCs/>
                <w:szCs w:val="24"/>
              </w:rPr>
              <w:t>系统要求</w:t>
            </w:r>
          </w:p>
        </w:tc>
        <w:tc>
          <w:tcPr>
            <w:tcW w:w="6727" w:type="dxa"/>
            <w:tcBorders>
              <w:top w:val="single" w:color="auto" w:sz="4" w:space="0"/>
              <w:left w:val="single" w:color="auto" w:sz="4" w:space="0"/>
              <w:bottom w:val="single" w:color="auto" w:sz="4" w:space="0"/>
              <w:right w:val="single" w:color="auto" w:sz="4" w:space="0"/>
            </w:tcBorders>
            <w:shd w:val="clear" w:color="auto" w:fill="auto"/>
            <w:vAlign w:val="center"/>
          </w:tcPr>
          <w:p w14:paraId="5B8CFC62">
            <w:pPr>
              <w:spacing w:line="360" w:lineRule="auto"/>
              <w:rPr>
                <w:rFonts w:ascii="宋体" w:hAnsi="宋体"/>
                <w:szCs w:val="24"/>
              </w:rPr>
            </w:pPr>
            <w:r>
              <w:rPr>
                <w:rFonts w:hint="eastAsia" w:ascii="宋体" w:hAnsi="宋体"/>
                <w:szCs w:val="24"/>
              </w:rPr>
              <w:t>要求所选数据库高可用软件完全兼容院方现有架构体系，与原有数据库架构无缝对接，可进行在线不停机扩展升级，升级过程中无需停止原有数据库服务，业务系统无感知，实现零停机升级。新增节点数据自动同步，同步过程不影响原有节点的读写性能。</w:t>
            </w:r>
          </w:p>
        </w:tc>
      </w:tr>
      <w:tr w14:paraId="5897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14:paraId="0A7C7053">
            <w:pPr>
              <w:spacing w:line="360" w:lineRule="auto"/>
              <w:jc w:val="center"/>
              <w:rPr>
                <w:rFonts w:ascii="宋体" w:hAnsi="宋体"/>
                <w:b/>
                <w:bCs/>
                <w:szCs w:val="24"/>
              </w:rPr>
            </w:pPr>
            <w:r>
              <w:rPr>
                <w:rFonts w:hint="eastAsia" w:ascii="宋体" w:hAnsi="宋体"/>
                <w:b/>
                <w:bCs/>
                <w:szCs w:val="24"/>
              </w:rPr>
              <w:t>高可用性</w:t>
            </w:r>
          </w:p>
        </w:tc>
        <w:tc>
          <w:tcPr>
            <w:tcW w:w="6727" w:type="dxa"/>
            <w:tcBorders>
              <w:top w:val="single" w:color="auto" w:sz="4" w:space="0"/>
              <w:left w:val="single" w:color="auto" w:sz="4" w:space="0"/>
              <w:bottom w:val="single" w:color="auto" w:sz="4" w:space="0"/>
              <w:right w:val="single" w:color="auto" w:sz="4" w:space="0"/>
            </w:tcBorders>
            <w:shd w:val="clear" w:color="auto" w:fill="auto"/>
            <w:vAlign w:val="center"/>
          </w:tcPr>
          <w:p w14:paraId="62EDD1D4">
            <w:pPr>
              <w:spacing w:line="360" w:lineRule="auto"/>
              <w:rPr>
                <w:rFonts w:ascii="宋体" w:hAnsi="宋体"/>
                <w:szCs w:val="24"/>
              </w:rPr>
            </w:pPr>
            <w:r>
              <w:rPr>
                <w:rFonts w:hint="eastAsia" w:ascii="宋体" w:hAnsi="宋体"/>
                <w:szCs w:val="24"/>
              </w:rPr>
              <w:t>采用多种故障监控机制实时监测系统的软硬件健康状况，若某节点发生故障，故障节点脱机，同时该节点虚拟IP会立即飘移到其余健康的节点来响应连接请求，保证业务不中断。</w:t>
            </w:r>
          </w:p>
        </w:tc>
      </w:tr>
      <w:tr w14:paraId="522F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14:paraId="4B52A5E8">
            <w:pPr>
              <w:spacing w:line="360" w:lineRule="auto"/>
              <w:jc w:val="center"/>
              <w:rPr>
                <w:rFonts w:ascii="宋体" w:hAnsi="宋体"/>
                <w:b/>
                <w:bCs/>
                <w:szCs w:val="24"/>
              </w:rPr>
            </w:pPr>
            <w:r>
              <w:rPr>
                <w:rFonts w:hint="eastAsia" w:ascii="宋体" w:hAnsi="宋体"/>
                <w:b/>
                <w:bCs/>
                <w:szCs w:val="24"/>
              </w:rPr>
              <w:t>易用性</w:t>
            </w:r>
          </w:p>
        </w:tc>
        <w:tc>
          <w:tcPr>
            <w:tcW w:w="6727" w:type="dxa"/>
            <w:tcBorders>
              <w:top w:val="single" w:color="auto" w:sz="4" w:space="0"/>
              <w:left w:val="single" w:color="auto" w:sz="4" w:space="0"/>
              <w:bottom w:val="single" w:color="auto" w:sz="4" w:space="0"/>
              <w:right w:val="single" w:color="auto" w:sz="4" w:space="0"/>
            </w:tcBorders>
            <w:shd w:val="clear" w:color="auto" w:fill="auto"/>
            <w:vAlign w:val="center"/>
          </w:tcPr>
          <w:p w14:paraId="3CB3A0E1">
            <w:pPr>
              <w:spacing w:line="360" w:lineRule="auto"/>
              <w:rPr>
                <w:rFonts w:ascii="宋体" w:hAnsi="宋体"/>
                <w:szCs w:val="24"/>
              </w:rPr>
            </w:pPr>
            <w:r>
              <w:rPr>
                <w:rFonts w:hint="eastAsia" w:ascii="宋体" w:hAnsi="宋体"/>
                <w:szCs w:val="24"/>
              </w:rPr>
              <w:t>要求数据库平台软件简单易用、对应用完全透明，不会对现有的数据库及应用程序进行修改，不改变用户的使用习惯</w:t>
            </w:r>
          </w:p>
        </w:tc>
      </w:tr>
      <w:tr w14:paraId="6BC9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14:paraId="09CAD74E">
            <w:pPr>
              <w:spacing w:line="360" w:lineRule="auto"/>
              <w:jc w:val="center"/>
              <w:rPr>
                <w:rFonts w:ascii="宋体" w:hAnsi="宋体"/>
                <w:b/>
                <w:bCs/>
                <w:szCs w:val="24"/>
              </w:rPr>
            </w:pPr>
            <w:r>
              <w:rPr>
                <w:rFonts w:hint="eastAsia" w:ascii="宋体" w:hAnsi="宋体"/>
                <w:b/>
                <w:bCs/>
                <w:szCs w:val="24"/>
              </w:rPr>
              <w:t>数据同步方式</w:t>
            </w:r>
          </w:p>
        </w:tc>
        <w:tc>
          <w:tcPr>
            <w:tcW w:w="6727" w:type="dxa"/>
            <w:tcBorders>
              <w:top w:val="single" w:color="auto" w:sz="4" w:space="0"/>
              <w:left w:val="single" w:color="auto" w:sz="4" w:space="0"/>
              <w:bottom w:val="single" w:color="auto" w:sz="4" w:space="0"/>
              <w:right w:val="single" w:color="auto" w:sz="4" w:space="0"/>
            </w:tcBorders>
            <w:shd w:val="clear" w:color="auto" w:fill="auto"/>
            <w:vAlign w:val="center"/>
          </w:tcPr>
          <w:p w14:paraId="45B27F43">
            <w:pPr>
              <w:spacing w:line="360" w:lineRule="auto"/>
              <w:rPr>
                <w:rFonts w:ascii="宋体" w:hAnsi="宋体"/>
                <w:szCs w:val="24"/>
              </w:rPr>
            </w:pPr>
            <w:r>
              <w:rPr>
                <w:rFonts w:hint="eastAsia" w:ascii="宋体" w:hAnsi="宋体"/>
                <w:szCs w:val="24"/>
              </w:rPr>
              <w:t>支持数据实时同步与异步同步两种模式。</w:t>
            </w:r>
          </w:p>
        </w:tc>
      </w:tr>
      <w:tr w14:paraId="41DB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14:paraId="19702988">
            <w:pPr>
              <w:spacing w:line="360" w:lineRule="auto"/>
              <w:jc w:val="center"/>
              <w:rPr>
                <w:rFonts w:ascii="宋体" w:hAnsi="宋体"/>
                <w:b/>
                <w:bCs/>
                <w:szCs w:val="24"/>
              </w:rPr>
            </w:pPr>
            <w:r>
              <w:rPr>
                <w:rFonts w:hint="eastAsia" w:ascii="宋体" w:hAnsi="宋体"/>
                <w:b/>
                <w:bCs/>
                <w:szCs w:val="24"/>
              </w:rPr>
              <w:t>故障告警</w:t>
            </w:r>
          </w:p>
        </w:tc>
        <w:tc>
          <w:tcPr>
            <w:tcW w:w="6727" w:type="dxa"/>
            <w:tcBorders>
              <w:top w:val="single" w:color="auto" w:sz="4" w:space="0"/>
              <w:left w:val="single" w:color="auto" w:sz="4" w:space="0"/>
              <w:bottom w:val="single" w:color="auto" w:sz="4" w:space="0"/>
              <w:right w:val="single" w:color="auto" w:sz="4" w:space="0"/>
            </w:tcBorders>
            <w:shd w:val="clear" w:color="auto" w:fill="auto"/>
            <w:vAlign w:val="center"/>
          </w:tcPr>
          <w:p w14:paraId="7EF616F3">
            <w:pPr>
              <w:spacing w:line="360" w:lineRule="auto"/>
              <w:rPr>
                <w:rFonts w:ascii="宋体" w:hAnsi="宋体"/>
                <w:szCs w:val="24"/>
              </w:rPr>
            </w:pPr>
            <w:r>
              <w:rPr>
                <w:rFonts w:hint="eastAsia" w:ascii="宋体" w:hAnsi="宋体"/>
                <w:szCs w:val="24"/>
              </w:rPr>
              <w:t>同时提供多种故障通知机制，如邮件、通知服务告警等</w:t>
            </w:r>
          </w:p>
        </w:tc>
      </w:tr>
      <w:tr w14:paraId="0442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14:paraId="1AC8170D">
            <w:pPr>
              <w:spacing w:line="360" w:lineRule="auto"/>
              <w:jc w:val="center"/>
              <w:rPr>
                <w:rFonts w:ascii="宋体" w:hAnsi="宋体"/>
                <w:b/>
                <w:bCs/>
                <w:szCs w:val="24"/>
              </w:rPr>
            </w:pPr>
            <w:r>
              <w:rPr>
                <w:rFonts w:hint="eastAsia" w:ascii="宋体" w:hAnsi="宋体"/>
                <w:b/>
                <w:bCs/>
                <w:szCs w:val="24"/>
              </w:rPr>
              <w:t>数据安全性</w:t>
            </w:r>
          </w:p>
        </w:tc>
        <w:tc>
          <w:tcPr>
            <w:tcW w:w="6727" w:type="dxa"/>
            <w:tcBorders>
              <w:top w:val="single" w:color="auto" w:sz="4" w:space="0"/>
              <w:left w:val="single" w:color="auto" w:sz="4" w:space="0"/>
              <w:bottom w:val="single" w:color="auto" w:sz="4" w:space="0"/>
              <w:right w:val="single" w:color="auto" w:sz="4" w:space="0"/>
            </w:tcBorders>
            <w:shd w:val="clear" w:color="auto" w:fill="auto"/>
            <w:vAlign w:val="center"/>
          </w:tcPr>
          <w:p w14:paraId="0928FB6F">
            <w:pPr>
              <w:spacing w:line="360" w:lineRule="auto"/>
              <w:rPr>
                <w:rFonts w:ascii="宋体" w:hAnsi="宋体"/>
                <w:szCs w:val="24"/>
              </w:rPr>
            </w:pPr>
            <w:r>
              <w:rPr>
                <w:rFonts w:hint="eastAsia" w:ascii="宋体" w:hAnsi="宋体"/>
                <w:szCs w:val="24"/>
              </w:rPr>
              <w:t>采用非共享存储架构设计，数据可以存放在每台机器自己的存储介质中，避免硬件单点故障，保证数据至少两份及数据安全</w:t>
            </w:r>
          </w:p>
        </w:tc>
      </w:tr>
      <w:tr w14:paraId="23C9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14:paraId="05C84B57">
            <w:pPr>
              <w:spacing w:line="360" w:lineRule="auto"/>
              <w:jc w:val="center"/>
              <w:rPr>
                <w:rFonts w:ascii="宋体" w:hAnsi="宋体"/>
                <w:b/>
                <w:bCs/>
                <w:szCs w:val="24"/>
              </w:rPr>
            </w:pPr>
            <w:r>
              <w:rPr>
                <w:rFonts w:hint="eastAsia" w:ascii="宋体" w:hAnsi="宋体"/>
                <w:b/>
                <w:bCs/>
                <w:szCs w:val="24"/>
              </w:rPr>
              <w:t>登录账户同步</w:t>
            </w:r>
          </w:p>
        </w:tc>
        <w:tc>
          <w:tcPr>
            <w:tcW w:w="6727" w:type="dxa"/>
            <w:tcBorders>
              <w:top w:val="single" w:color="auto" w:sz="4" w:space="0"/>
              <w:left w:val="single" w:color="auto" w:sz="4" w:space="0"/>
              <w:bottom w:val="single" w:color="auto" w:sz="4" w:space="0"/>
              <w:right w:val="single" w:color="auto" w:sz="4" w:space="0"/>
            </w:tcBorders>
            <w:shd w:val="clear" w:color="auto" w:fill="auto"/>
            <w:vAlign w:val="center"/>
          </w:tcPr>
          <w:p w14:paraId="6FFEF9FB">
            <w:pPr>
              <w:spacing w:line="360" w:lineRule="auto"/>
              <w:rPr>
                <w:rFonts w:ascii="宋体" w:hAnsi="宋体"/>
                <w:szCs w:val="24"/>
              </w:rPr>
            </w:pPr>
            <w:r>
              <w:rPr>
                <w:rFonts w:hint="eastAsia" w:ascii="宋体" w:hAnsi="宋体"/>
                <w:szCs w:val="24"/>
              </w:rPr>
              <w:t>支持对登录账户创建、更改、删除整个生命周期的自动同步，无需人工维护，避免辅助节点切换为主节点后，因账号、密码、权限、数据库映射关系等不一致导致业务系统无法正常使用的情况。</w:t>
            </w:r>
          </w:p>
        </w:tc>
      </w:tr>
      <w:tr w14:paraId="4F01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14:paraId="721B6592">
            <w:pPr>
              <w:spacing w:line="360" w:lineRule="auto"/>
              <w:jc w:val="center"/>
              <w:rPr>
                <w:rFonts w:ascii="宋体" w:hAnsi="宋体"/>
                <w:b/>
                <w:bCs/>
                <w:szCs w:val="24"/>
              </w:rPr>
            </w:pPr>
            <w:r>
              <w:rPr>
                <w:rFonts w:hint="eastAsia" w:ascii="宋体" w:hAnsi="宋体"/>
                <w:b/>
                <w:bCs/>
                <w:szCs w:val="24"/>
              </w:rPr>
              <w:t>同步技术</w:t>
            </w:r>
          </w:p>
        </w:tc>
        <w:tc>
          <w:tcPr>
            <w:tcW w:w="6727" w:type="dxa"/>
            <w:tcBorders>
              <w:top w:val="single" w:color="auto" w:sz="4" w:space="0"/>
              <w:left w:val="single" w:color="auto" w:sz="4" w:space="0"/>
              <w:bottom w:val="single" w:color="auto" w:sz="4" w:space="0"/>
              <w:right w:val="single" w:color="auto" w:sz="4" w:space="0"/>
            </w:tcBorders>
            <w:shd w:val="clear" w:color="auto" w:fill="auto"/>
            <w:vAlign w:val="center"/>
          </w:tcPr>
          <w:p w14:paraId="20148A14">
            <w:pPr>
              <w:spacing w:line="360" w:lineRule="auto"/>
              <w:rPr>
                <w:rFonts w:ascii="宋体" w:hAnsi="宋体"/>
                <w:szCs w:val="24"/>
              </w:rPr>
            </w:pPr>
            <w:r>
              <w:rPr>
                <w:rFonts w:hint="eastAsia" w:ascii="宋体" w:hAnsi="宋体"/>
                <w:szCs w:val="24"/>
              </w:rPr>
              <w:t>要求产品的同步技术高效稳定，不能是基于触发器、CDC、镜像、复制订阅等高消耗或有明显技术限制的同步技术</w:t>
            </w:r>
          </w:p>
        </w:tc>
      </w:tr>
      <w:tr w14:paraId="02D3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14:paraId="143FCF37">
            <w:pPr>
              <w:spacing w:line="360" w:lineRule="auto"/>
              <w:jc w:val="center"/>
              <w:rPr>
                <w:rFonts w:ascii="宋体" w:hAnsi="宋体"/>
                <w:b/>
                <w:bCs/>
                <w:szCs w:val="24"/>
              </w:rPr>
            </w:pPr>
            <w:r>
              <w:rPr>
                <w:rFonts w:hint="eastAsia" w:ascii="宋体" w:hAnsi="宋体"/>
                <w:b/>
                <w:bCs/>
                <w:szCs w:val="24"/>
              </w:rPr>
              <w:t>作业同步</w:t>
            </w:r>
          </w:p>
        </w:tc>
        <w:tc>
          <w:tcPr>
            <w:tcW w:w="6727" w:type="dxa"/>
            <w:tcBorders>
              <w:top w:val="single" w:color="auto" w:sz="4" w:space="0"/>
              <w:left w:val="single" w:color="auto" w:sz="4" w:space="0"/>
              <w:bottom w:val="single" w:color="auto" w:sz="4" w:space="0"/>
              <w:right w:val="single" w:color="auto" w:sz="4" w:space="0"/>
            </w:tcBorders>
            <w:shd w:val="clear" w:color="auto" w:fill="auto"/>
            <w:vAlign w:val="center"/>
          </w:tcPr>
          <w:p w14:paraId="6EFD347D">
            <w:pPr>
              <w:spacing w:line="360" w:lineRule="auto"/>
              <w:rPr>
                <w:rFonts w:ascii="宋体" w:hAnsi="宋体"/>
                <w:szCs w:val="24"/>
              </w:rPr>
            </w:pPr>
            <w:r>
              <w:rPr>
                <w:rFonts w:hint="eastAsia" w:ascii="宋体" w:hAnsi="宋体"/>
                <w:szCs w:val="24"/>
              </w:rPr>
              <w:t>支持对作业创建、更改、删除整个生命周期的自动同步，确保作业在各个节点间的一致性，避免辅助节点切换成主节点时，因作业的内容不一致、作业未及时开启等原因导致业务数据混乱等问题。</w:t>
            </w:r>
          </w:p>
        </w:tc>
      </w:tr>
      <w:tr w14:paraId="623E4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14:paraId="09A81258">
            <w:pPr>
              <w:spacing w:line="360" w:lineRule="auto"/>
              <w:jc w:val="center"/>
              <w:rPr>
                <w:rFonts w:ascii="宋体" w:hAnsi="宋体"/>
                <w:b/>
                <w:bCs/>
                <w:szCs w:val="24"/>
              </w:rPr>
            </w:pPr>
            <w:r>
              <w:rPr>
                <w:rFonts w:hint="eastAsia" w:ascii="宋体" w:hAnsi="宋体"/>
                <w:b/>
                <w:bCs/>
                <w:szCs w:val="24"/>
              </w:rPr>
              <w:t>可靠性</w:t>
            </w:r>
          </w:p>
        </w:tc>
        <w:tc>
          <w:tcPr>
            <w:tcW w:w="6727" w:type="dxa"/>
            <w:tcBorders>
              <w:top w:val="single" w:color="auto" w:sz="4" w:space="0"/>
              <w:left w:val="single" w:color="auto" w:sz="4" w:space="0"/>
              <w:bottom w:val="single" w:color="auto" w:sz="4" w:space="0"/>
              <w:right w:val="single" w:color="auto" w:sz="4" w:space="0"/>
            </w:tcBorders>
            <w:shd w:val="clear" w:color="auto" w:fill="auto"/>
            <w:vAlign w:val="center"/>
          </w:tcPr>
          <w:p w14:paraId="0FD46548">
            <w:pPr>
              <w:spacing w:line="360" w:lineRule="auto"/>
              <w:rPr>
                <w:rFonts w:ascii="宋体" w:hAnsi="宋体"/>
                <w:szCs w:val="24"/>
              </w:rPr>
            </w:pPr>
            <w:r>
              <w:rPr>
                <w:rFonts w:hint="eastAsia" w:ascii="宋体" w:hAnsi="宋体"/>
                <w:szCs w:val="24"/>
              </w:rPr>
              <w:t>服务器群组中任何一台服务器故障不影响业务正常使用，节点修复后自动同步差异数据可以自动加入群组中继续工作。</w:t>
            </w:r>
          </w:p>
        </w:tc>
      </w:tr>
      <w:tr w14:paraId="7B70D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14:paraId="09F0ABA0">
            <w:pPr>
              <w:spacing w:line="360" w:lineRule="auto"/>
              <w:jc w:val="center"/>
              <w:rPr>
                <w:rFonts w:ascii="宋体" w:hAnsi="宋体"/>
                <w:b/>
                <w:bCs/>
                <w:szCs w:val="24"/>
              </w:rPr>
            </w:pPr>
            <w:r>
              <w:rPr>
                <w:rFonts w:hint="eastAsia" w:ascii="宋体" w:hAnsi="宋体"/>
                <w:b/>
                <w:bCs/>
                <w:szCs w:val="24"/>
              </w:rPr>
              <w:t>系统库对象同步</w:t>
            </w:r>
          </w:p>
        </w:tc>
        <w:tc>
          <w:tcPr>
            <w:tcW w:w="6727" w:type="dxa"/>
            <w:tcBorders>
              <w:top w:val="single" w:color="auto" w:sz="4" w:space="0"/>
              <w:left w:val="single" w:color="auto" w:sz="4" w:space="0"/>
              <w:bottom w:val="single" w:color="auto" w:sz="4" w:space="0"/>
              <w:right w:val="single" w:color="auto" w:sz="4" w:space="0"/>
            </w:tcBorders>
            <w:shd w:val="clear" w:color="auto" w:fill="auto"/>
            <w:vAlign w:val="center"/>
          </w:tcPr>
          <w:p w14:paraId="70F4D3DE">
            <w:pPr>
              <w:spacing w:line="360" w:lineRule="auto"/>
              <w:rPr>
                <w:rFonts w:ascii="宋体" w:hAnsi="宋体"/>
                <w:szCs w:val="24"/>
              </w:rPr>
            </w:pPr>
            <w:r>
              <w:rPr>
                <w:rFonts w:hint="eastAsia" w:ascii="宋体" w:hAnsi="宋体"/>
                <w:szCs w:val="24"/>
              </w:rPr>
              <w:t>支持对系统库中的表（结构和数据）、存储过程、视图、函数等常用对象的同步，避免因对象不同步造成业务系统无法正常使用的情况。</w:t>
            </w:r>
          </w:p>
        </w:tc>
      </w:tr>
      <w:tr w14:paraId="17FC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14:paraId="32AB0342">
            <w:pPr>
              <w:spacing w:line="360" w:lineRule="auto"/>
              <w:jc w:val="center"/>
              <w:rPr>
                <w:rFonts w:ascii="宋体" w:hAnsi="宋体"/>
                <w:b/>
                <w:bCs/>
                <w:szCs w:val="24"/>
              </w:rPr>
            </w:pPr>
            <w:r>
              <w:rPr>
                <w:rFonts w:hint="eastAsia" w:ascii="宋体" w:hAnsi="宋体"/>
                <w:b/>
                <w:bCs/>
                <w:szCs w:val="24"/>
              </w:rPr>
              <w:t>负载均衡</w:t>
            </w:r>
          </w:p>
        </w:tc>
        <w:tc>
          <w:tcPr>
            <w:tcW w:w="6727" w:type="dxa"/>
            <w:tcBorders>
              <w:top w:val="single" w:color="auto" w:sz="4" w:space="0"/>
              <w:left w:val="single" w:color="auto" w:sz="4" w:space="0"/>
              <w:bottom w:val="single" w:color="auto" w:sz="4" w:space="0"/>
              <w:right w:val="single" w:color="auto" w:sz="4" w:space="0"/>
            </w:tcBorders>
            <w:shd w:val="clear" w:color="auto" w:fill="auto"/>
            <w:vAlign w:val="center"/>
          </w:tcPr>
          <w:p w14:paraId="65A8CE38">
            <w:pPr>
              <w:spacing w:line="360" w:lineRule="auto"/>
              <w:rPr>
                <w:rFonts w:ascii="宋体" w:hAnsi="宋体"/>
                <w:szCs w:val="24"/>
              </w:rPr>
            </w:pPr>
            <w:r>
              <w:rPr>
                <w:rFonts w:hint="eastAsia" w:ascii="宋体" w:hAnsi="宋体"/>
                <w:szCs w:val="24"/>
              </w:rPr>
              <w:t>针对查询操作提供负载均衡能力，将应用程序的查询访问在多个节点间有效的均衡负载。</w:t>
            </w:r>
          </w:p>
        </w:tc>
      </w:tr>
      <w:tr w14:paraId="6020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14:paraId="413C8B98">
            <w:pPr>
              <w:spacing w:line="360" w:lineRule="auto"/>
              <w:jc w:val="center"/>
              <w:rPr>
                <w:rFonts w:ascii="宋体" w:hAnsi="宋体"/>
                <w:b/>
                <w:bCs/>
                <w:szCs w:val="24"/>
              </w:rPr>
            </w:pPr>
            <w:r>
              <w:rPr>
                <w:rFonts w:hint="eastAsia" w:ascii="宋体" w:hAnsi="宋体"/>
                <w:b/>
                <w:bCs/>
                <w:szCs w:val="24"/>
              </w:rPr>
              <w:t>读写分离</w:t>
            </w:r>
          </w:p>
        </w:tc>
        <w:tc>
          <w:tcPr>
            <w:tcW w:w="6727" w:type="dxa"/>
            <w:tcBorders>
              <w:top w:val="single" w:color="auto" w:sz="4" w:space="0"/>
              <w:left w:val="single" w:color="auto" w:sz="4" w:space="0"/>
              <w:bottom w:val="single" w:color="auto" w:sz="4" w:space="0"/>
              <w:right w:val="single" w:color="auto" w:sz="4" w:space="0"/>
            </w:tcBorders>
            <w:shd w:val="clear" w:color="auto" w:fill="auto"/>
            <w:vAlign w:val="center"/>
          </w:tcPr>
          <w:p w14:paraId="4AC419D7">
            <w:pPr>
              <w:spacing w:line="360" w:lineRule="auto"/>
              <w:rPr>
                <w:rFonts w:ascii="宋体" w:hAnsi="宋体"/>
                <w:szCs w:val="24"/>
              </w:rPr>
            </w:pPr>
            <w:r>
              <w:rPr>
                <w:rFonts w:hint="eastAsia" w:ascii="宋体" w:hAnsi="宋体"/>
                <w:szCs w:val="24"/>
              </w:rPr>
              <w:t>通过制定策略重定向SQL，支持将报表类及第三访查询接口指派到集群任意节点，降低主库服务器性能压力，透明地实现读写分离操作，无需修改应用程序。</w:t>
            </w:r>
          </w:p>
        </w:tc>
      </w:tr>
      <w:tr w14:paraId="5E92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14:paraId="4AD976BA">
            <w:pPr>
              <w:spacing w:line="360" w:lineRule="auto"/>
              <w:jc w:val="center"/>
              <w:rPr>
                <w:rFonts w:ascii="宋体" w:hAnsi="宋体"/>
                <w:b/>
                <w:bCs/>
                <w:szCs w:val="24"/>
              </w:rPr>
            </w:pPr>
            <w:r>
              <w:rPr>
                <w:rFonts w:hint="eastAsia" w:ascii="宋体" w:hAnsi="宋体"/>
                <w:b/>
                <w:bCs/>
                <w:szCs w:val="24"/>
              </w:rPr>
              <w:t>弹性扩展</w:t>
            </w:r>
          </w:p>
        </w:tc>
        <w:tc>
          <w:tcPr>
            <w:tcW w:w="6727" w:type="dxa"/>
            <w:tcBorders>
              <w:top w:val="single" w:color="auto" w:sz="4" w:space="0"/>
              <w:left w:val="single" w:color="auto" w:sz="4" w:space="0"/>
              <w:bottom w:val="single" w:color="auto" w:sz="4" w:space="0"/>
              <w:right w:val="single" w:color="auto" w:sz="4" w:space="0"/>
            </w:tcBorders>
            <w:shd w:val="clear" w:color="auto" w:fill="auto"/>
            <w:vAlign w:val="center"/>
          </w:tcPr>
          <w:p w14:paraId="13AC9311">
            <w:pPr>
              <w:spacing w:line="360" w:lineRule="auto"/>
              <w:rPr>
                <w:rFonts w:ascii="宋体" w:hAnsi="宋体"/>
                <w:szCs w:val="24"/>
              </w:rPr>
            </w:pPr>
            <w:r>
              <w:rPr>
                <w:rFonts w:hint="eastAsia" w:ascii="宋体" w:hAnsi="宋体"/>
                <w:szCs w:val="24"/>
              </w:rPr>
              <w:t>可以通过增加服务器的数量来增加数据库的处理能力，最多支持8节点，实现简单扩展，提高设备利用率。</w:t>
            </w:r>
          </w:p>
        </w:tc>
      </w:tr>
      <w:tr w14:paraId="1A56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14:paraId="3C82F5A8">
            <w:pPr>
              <w:spacing w:line="360" w:lineRule="auto"/>
              <w:jc w:val="center"/>
              <w:rPr>
                <w:rFonts w:ascii="宋体" w:hAnsi="宋体"/>
                <w:b/>
                <w:bCs/>
                <w:szCs w:val="24"/>
              </w:rPr>
            </w:pPr>
            <w:r>
              <w:rPr>
                <w:rFonts w:hint="eastAsia" w:ascii="宋体" w:hAnsi="宋体"/>
                <w:b/>
                <w:bCs/>
                <w:szCs w:val="24"/>
              </w:rPr>
              <w:t>配置透明</w:t>
            </w:r>
          </w:p>
        </w:tc>
        <w:tc>
          <w:tcPr>
            <w:tcW w:w="6727" w:type="dxa"/>
            <w:tcBorders>
              <w:top w:val="single" w:color="auto" w:sz="4" w:space="0"/>
              <w:left w:val="single" w:color="auto" w:sz="4" w:space="0"/>
              <w:bottom w:val="single" w:color="auto" w:sz="4" w:space="0"/>
              <w:right w:val="single" w:color="auto" w:sz="4" w:space="0"/>
            </w:tcBorders>
            <w:shd w:val="clear" w:color="auto" w:fill="auto"/>
            <w:vAlign w:val="center"/>
          </w:tcPr>
          <w:p w14:paraId="07170CE5">
            <w:pPr>
              <w:spacing w:line="360" w:lineRule="auto"/>
              <w:rPr>
                <w:rFonts w:ascii="宋体" w:hAnsi="宋体"/>
                <w:szCs w:val="24"/>
              </w:rPr>
            </w:pPr>
            <w:r>
              <w:rPr>
                <w:rFonts w:hint="eastAsia" w:ascii="宋体" w:hAnsi="宋体"/>
                <w:szCs w:val="24"/>
              </w:rPr>
              <w:t>要求对应用程序完全透明，提供唯一的IP地址及端口供应用程序访问。</w:t>
            </w:r>
          </w:p>
        </w:tc>
      </w:tr>
      <w:tr w14:paraId="3DC4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14:paraId="7E8814A2">
            <w:pPr>
              <w:spacing w:line="360" w:lineRule="auto"/>
              <w:jc w:val="center"/>
              <w:rPr>
                <w:rFonts w:ascii="宋体" w:hAnsi="宋体"/>
                <w:b/>
                <w:bCs/>
                <w:szCs w:val="24"/>
              </w:rPr>
            </w:pPr>
            <w:r>
              <w:rPr>
                <w:rFonts w:hint="eastAsia" w:ascii="宋体" w:hAnsi="宋体"/>
                <w:b/>
                <w:bCs/>
                <w:szCs w:val="24"/>
              </w:rPr>
              <w:t>图形化管理</w:t>
            </w:r>
          </w:p>
        </w:tc>
        <w:tc>
          <w:tcPr>
            <w:tcW w:w="6727" w:type="dxa"/>
            <w:tcBorders>
              <w:top w:val="single" w:color="auto" w:sz="4" w:space="0"/>
              <w:left w:val="single" w:color="auto" w:sz="4" w:space="0"/>
              <w:bottom w:val="single" w:color="auto" w:sz="4" w:space="0"/>
              <w:right w:val="single" w:color="auto" w:sz="4" w:space="0"/>
            </w:tcBorders>
            <w:shd w:val="clear" w:color="auto" w:fill="auto"/>
            <w:vAlign w:val="center"/>
          </w:tcPr>
          <w:p w14:paraId="458C988A">
            <w:pPr>
              <w:spacing w:line="360" w:lineRule="auto"/>
              <w:rPr>
                <w:rFonts w:ascii="宋体" w:hAnsi="宋体"/>
                <w:szCs w:val="24"/>
              </w:rPr>
            </w:pPr>
            <w:r>
              <w:rPr>
                <w:rFonts w:hint="eastAsia" w:ascii="宋体" w:hAnsi="宋体"/>
                <w:szCs w:val="24"/>
              </w:rPr>
              <w:t>具有图形化的管理工具，可以轻松的实现数据同步、节点扩展、负载设置、日志记录、邮件通知以及更加及时的短信通知等操作。</w:t>
            </w:r>
          </w:p>
        </w:tc>
      </w:tr>
      <w:tr w14:paraId="5928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14:paraId="42CE650E">
            <w:pPr>
              <w:spacing w:line="360" w:lineRule="auto"/>
              <w:jc w:val="center"/>
              <w:rPr>
                <w:rFonts w:ascii="宋体" w:hAnsi="宋体"/>
                <w:b/>
                <w:bCs/>
                <w:szCs w:val="24"/>
              </w:rPr>
            </w:pPr>
            <w:r>
              <w:rPr>
                <w:rFonts w:hint="eastAsia" w:ascii="宋体" w:hAnsi="宋体"/>
                <w:b/>
                <w:bCs/>
                <w:szCs w:val="24"/>
              </w:rPr>
              <w:t>▲知识产权</w:t>
            </w:r>
          </w:p>
        </w:tc>
        <w:tc>
          <w:tcPr>
            <w:tcW w:w="6727" w:type="dxa"/>
            <w:tcBorders>
              <w:top w:val="single" w:color="auto" w:sz="4" w:space="0"/>
              <w:left w:val="single" w:color="auto" w:sz="4" w:space="0"/>
              <w:bottom w:val="single" w:color="auto" w:sz="4" w:space="0"/>
              <w:right w:val="single" w:color="auto" w:sz="4" w:space="0"/>
            </w:tcBorders>
            <w:shd w:val="clear" w:color="auto" w:fill="auto"/>
            <w:vAlign w:val="center"/>
          </w:tcPr>
          <w:p w14:paraId="0307B144">
            <w:pPr>
              <w:spacing w:line="360" w:lineRule="auto"/>
              <w:rPr>
                <w:rFonts w:ascii="宋体" w:hAnsi="宋体"/>
                <w:szCs w:val="24"/>
              </w:rPr>
            </w:pPr>
            <w:r>
              <w:rPr>
                <w:rFonts w:hint="eastAsia" w:ascii="宋体" w:hAnsi="宋体"/>
                <w:szCs w:val="24"/>
              </w:rPr>
              <w:t>为避免软件侵权，要求所选产品拥有自主知识产权，要求提供投标产品的软件著作权证书</w:t>
            </w:r>
          </w:p>
        </w:tc>
      </w:tr>
      <w:tr w14:paraId="77ED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auto"/>
            <w:vAlign w:val="center"/>
          </w:tcPr>
          <w:p w14:paraId="76A2DB7E">
            <w:pPr>
              <w:spacing w:line="360" w:lineRule="auto"/>
              <w:jc w:val="center"/>
              <w:rPr>
                <w:rFonts w:ascii="宋体" w:hAnsi="宋体"/>
                <w:b/>
                <w:bCs/>
                <w:szCs w:val="24"/>
              </w:rPr>
            </w:pPr>
            <w:r>
              <w:rPr>
                <w:rFonts w:hint="eastAsia" w:ascii="宋体" w:hAnsi="宋体"/>
                <w:b/>
                <w:bCs/>
                <w:szCs w:val="24"/>
              </w:rPr>
              <w:t>授权数量</w:t>
            </w:r>
          </w:p>
        </w:tc>
        <w:tc>
          <w:tcPr>
            <w:tcW w:w="6727" w:type="dxa"/>
            <w:tcBorders>
              <w:top w:val="single" w:color="auto" w:sz="4" w:space="0"/>
              <w:left w:val="single" w:color="auto" w:sz="4" w:space="0"/>
              <w:bottom w:val="single" w:color="auto" w:sz="4" w:space="0"/>
              <w:right w:val="single" w:color="auto" w:sz="4" w:space="0"/>
            </w:tcBorders>
            <w:shd w:val="clear" w:color="auto" w:fill="auto"/>
            <w:vAlign w:val="center"/>
          </w:tcPr>
          <w:p w14:paraId="60CB7253">
            <w:pPr>
              <w:spacing w:line="360" w:lineRule="auto"/>
              <w:rPr>
                <w:rFonts w:ascii="宋体" w:hAnsi="宋体"/>
                <w:szCs w:val="24"/>
              </w:rPr>
            </w:pPr>
            <w:r>
              <w:rPr>
                <w:rFonts w:hint="eastAsia" w:ascii="宋体" w:hAnsi="宋体"/>
                <w:szCs w:val="24"/>
              </w:rPr>
              <w:t>本次项目提供1台数据库服务器节点的授权许可。</w:t>
            </w:r>
          </w:p>
        </w:tc>
      </w:tr>
    </w:tbl>
    <w:p w14:paraId="3E593861"/>
    <w:p w14:paraId="5242E0EA">
      <w:pPr>
        <w:pStyle w:val="4"/>
        <w:numPr>
          <w:ilvl w:val="0"/>
          <w:numId w:val="0"/>
        </w:numPr>
        <w:spacing w:line="360" w:lineRule="auto"/>
        <w:rPr>
          <w:rFonts w:ascii="宋体" w:hAnsi="宋体" w:eastAsia="宋体" w:cs="Times New Roman"/>
          <w:color w:val="auto"/>
          <w:sz w:val="24"/>
          <w:szCs w:val="24"/>
        </w:rPr>
      </w:pPr>
      <w:r>
        <w:rPr>
          <w:rFonts w:hint="eastAsia" w:ascii="宋体" w:hAnsi="宋体" w:eastAsia="宋体" w:cs="Times New Roman"/>
          <w:color w:val="auto"/>
          <w:sz w:val="24"/>
          <w:szCs w:val="24"/>
        </w:rPr>
        <w:t>3、超融合一体机</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6910"/>
      </w:tblGrid>
      <w:tr w14:paraId="27C2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65BB714D">
            <w:pPr>
              <w:widowControl/>
              <w:spacing w:line="360" w:lineRule="auto"/>
              <w:jc w:val="center"/>
              <w:rPr>
                <w:rFonts w:ascii="宋体" w:hAnsi="宋体"/>
                <w:b/>
                <w:szCs w:val="24"/>
              </w:rPr>
            </w:pPr>
            <w:r>
              <w:rPr>
                <w:rFonts w:hint="eastAsia" w:ascii="宋体" w:hAnsi="宋体"/>
                <w:b/>
                <w:szCs w:val="24"/>
              </w:rPr>
              <w:t>指标项</w:t>
            </w:r>
          </w:p>
        </w:tc>
        <w:tc>
          <w:tcPr>
            <w:tcW w:w="6727"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62F68E68">
            <w:pPr>
              <w:widowControl/>
              <w:spacing w:line="360" w:lineRule="auto"/>
              <w:jc w:val="center"/>
              <w:rPr>
                <w:rFonts w:ascii="宋体" w:hAnsi="宋体" w:cs="宋体"/>
                <w:b/>
                <w:kern w:val="0"/>
                <w:szCs w:val="24"/>
              </w:rPr>
            </w:pPr>
            <w:r>
              <w:rPr>
                <w:rFonts w:hint="eastAsia" w:ascii="宋体" w:hAnsi="宋体"/>
                <w:b/>
                <w:szCs w:val="24"/>
              </w:rPr>
              <w:t>指标要求</w:t>
            </w:r>
          </w:p>
        </w:tc>
      </w:tr>
      <w:tr w14:paraId="4F16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vAlign w:val="center"/>
          </w:tcPr>
          <w:p w14:paraId="5C7212FF">
            <w:pPr>
              <w:spacing w:line="360" w:lineRule="auto"/>
              <w:jc w:val="center"/>
              <w:rPr>
                <w:rFonts w:ascii="宋体" w:hAnsi="宋体"/>
                <w:b/>
                <w:bCs/>
                <w:szCs w:val="24"/>
              </w:rPr>
            </w:pPr>
            <w:r>
              <w:rPr>
                <w:rFonts w:hint="eastAsia" w:ascii="宋体" w:hAnsi="宋体"/>
                <w:b/>
                <w:bCs/>
                <w:szCs w:val="24"/>
              </w:rPr>
              <w:t>技术要求</w:t>
            </w:r>
          </w:p>
        </w:tc>
        <w:tc>
          <w:tcPr>
            <w:tcW w:w="6727" w:type="dxa"/>
            <w:tcBorders>
              <w:top w:val="single" w:color="auto" w:sz="4" w:space="0"/>
              <w:left w:val="single" w:color="auto" w:sz="4" w:space="0"/>
              <w:bottom w:val="single" w:color="auto" w:sz="4" w:space="0"/>
              <w:right w:val="single" w:color="auto" w:sz="4" w:space="0"/>
            </w:tcBorders>
            <w:vAlign w:val="center"/>
          </w:tcPr>
          <w:p w14:paraId="25F2045A">
            <w:pPr>
              <w:spacing w:line="360" w:lineRule="auto"/>
              <w:rPr>
                <w:rFonts w:ascii="宋体" w:hAnsi="宋体"/>
                <w:szCs w:val="24"/>
              </w:rPr>
            </w:pPr>
            <w:r>
              <w:rPr>
                <w:rFonts w:ascii="宋体" w:hAnsi="宋体"/>
                <w:szCs w:val="24"/>
              </w:rPr>
              <w:t>1、★每节点配置≥2颗CPU，CPU主频≥2.5GHz，单颗CPU核数≥32核；</w:t>
            </w:r>
            <w:r>
              <w:rPr>
                <w:rFonts w:hint="eastAsia" w:ascii="宋体" w:hAnsi="宋体"/>
                <w:szCs w:val="24"/>
              </w:rPr>
              <w:t>内存≥</w:t>
            </w:r>
            <w:r>
              <w:rPr>
                <w:rFonts w:ascii="宋体" w:hAnsi="宋体"/>
                <w:szCs w:val="24"/>
              </w:rPr>
              <w:t>256GB DDR5；硬盘配置≥2块480GB SSD，≥4块3.84TB SSD硬盘；网络接口配置≥6个千兆电口，≥4个万兆光口（满配万兆多模光模块）。</w:t>
            </w:r>
          </w:p>
          <w:p w14:paraId="509DACA3">
            <w:pPr>
              <w:spacing w:line="360" w:lineRule="auto"/>
              <w:rPr>
                <w:rFonts w:ascii="宋体" w:hAnsi="宋体"/>
                <w:szCs w:val="24"/>
              </w:rPr>
            </w:pPr>
            <w:r>
              <w:rPr>
                <w:rFonts w:ascii="宋体" w:hAnsi="宋体"/>
                <w:szCs w:val="24"/>
              </w:rPr>
              <w:t>2、★每节点需配置不少于2颗物理CPU的计算虚拟化、存储虚拟化、网络虚拟化、云计算管理软件授权。须提供不少于100点的业务主机终端安全防护软件授权，提供不少于50个虚拟机同品牌容灾软件授权。</w:t>
            </w:r>
          </w:p>
          <w:p w14:paraId="4BF4CF0B">
            <w:pPr>
              <w:spacing w:line="360" w:lineRule="auto"/>
              <w:rPr>
                <w:rFonts w:ascii="宋体" w:hAnsi="宋体"/>
                <w:szCs w:val="24"/>
              </w:rPr>
            </w:pPr>
            <w:r>
              <w:rPr>
                <w:rFonts w:ascii="宋体" w:hAnsi="宋体"/>
                <w:szCs w:val="24"/>
              </w:rPr>
              <w:t>3、支持大屏展示，便于平台管理员直观查看资源池的使用情况与健康状态，涵盖物理主机数量、虚拟机数量、CPU 使用率、内存使用率、存储使用率，以及集群故障与告警等信息。</w:t>
            </w:r>
          </w:p>
          <w:p w14:paraId="09B7AD12">
            <w:pPr>
              <w:spacing w:line="360" w:lineRule="auto"/>
              <w:rPr>
                <w:rFonts w:ascii="宋体" w:hAnsi="宋体"/>
                <w:szCs w:val="24"/>
              </w:rPr>
            </w:pPr>
            <w:r>
              <w:rPr>
                <w:rFonts w:ascii="宋体" w:hAnsi="宋体"/>
                <w:szCs w:val="24"/>
              </w:rPr>
              <w:t>4、支持对运行异常虚拟机进行HA拉起，包括网络异常，硬件异常，虚拟机进程异常、I/O异常挂起，修正状态异常虚拟机、主机离线的虚拟机。支持主动HA功能，亚健康主机上的虚拟机，可热迁移至健康主机。用户可灵活选择响应方式</w:t>
            </w:r>
          </w:p>
          <w:p w14:paraId="6677375F">
            <w:pPr>
              <w:spacing w:line="360" w:lineRule="auto"/>
              <w:rPr>
                <w:rFonts w:ascii="宋体" w:hAnsi="宋体"/>
                <w:szCs w:val="24"/>
              </w:rPr>
            </w:pPr>
            <w:r>
              <w:rPr>
                <w:rFonts w:ascii="宋体" w:hAnsi="宋体"/>
                <w:szCs w:val="24"/>
              </w:rPr>
              <w:t>5、支持批量启动、关闭、重启、挂起、克隆、迁移虚拟机，简化日常运维需求操作。</w:t>
            </w:r>
          </w:p>
          <w:p w14:paraId="06941B52">
            <w:pPr>
              <w:spacing w:line="360" w:lineRule="auto"/>
              <w:rPr>
                <w:rFonts w:ascii="宋体" w:hAnsi="宋体"/>
                <w:szCs w:val="24"/>
              </w:rPr>
            </w:pPr>
            <w:r>
              <w:rPr>
                <w:rFonts w:ascii="宋体" w:hAnsi="宋体"/>
                <w:szCs w:val="24"/>
              </w:rPr>
              <w:t>6、支持自动评估物理主机的负载情况，当物理主机负载过高时，自动将该物理主机上的虚拟机迁移到其他负载较低的主机上，可以通过AI算法对虚拟机、主机对性能、可靠性打分并提供调度建议；可以设置调度时间段。</w:t>
            </w:r>
          </w:p>
          <w:p w14:paraId="7AE8CA2A">
            <w:pPr>
              <w:spacing w:line="360" w:lineRule="auto"/>
              <w:rPr>
                <w:rFonts w:ascii="宋体" w:hAnsi="宋体"/>
                <w:szCs w:val="24"/>
              </w:rPr>
            </w:pPr>
            <w:r>
              <w:rPr>
                <w:rFonts w:ascii="宋体" w:hAnsi="宋体"/>
                <w:szCs w:val="24"/>
              </w:rPr>
              <w:t>7、支持通过拖拽连线的方式构建网络拓扑，可以通过单选或框选的方式选择网络设备及虚拟机。可以删除选中的网络设备及虚拟机，可对虚拟机设备进行开机、关机等操作。</w:t>
            </w:r>
          </w:p>
          <w:p w14:paraId="4FA0A1FF">
            <w:pPr>
              <w:spacing w:line="360" w:lineRule="auto"/>
              <w:rPr>
                <w:rFonts w:ascii="宋体" w:hAnsi="宋体"/>
                <w:szCs w:val="24"/>
              </w:rPr>
            </w:pPr>
            <w:r>
              <w:rPr>
                <w:rFonts w:ascii="宋体" w:hAnsi="宋体"/>
                <w:szCs w:val="24"/>
              </w:rPr>
              <w:t>8、可通过硬盘资源池化提升资源利用率，结合智能条带化、数据分层、热点数据预测等技术优化存储性能。</w:t>
            </w:r>
          </w:p>
          <w:p w14:paraId="60738D79">
            <w:pPr>
              <w:spacing w:line="360" w:lineRule="auto"/>
              <w:rPr>
                <w:rFonts w:ascii="宋体" w:hAnsi="宋体"/>
                <w:szCs w:val="24"/>
              </w:rPr>
            </w:pPr>
            <w:r>
              <w:rPr>
                <w:rFonts w:ascii="宋体" w:hAnsi="宋体"/>
                <w:szCs w:val="24"/>
              </w:rPr>
              <w:t>9、支持备份复制策略，按照设定的备份频率、数据传输速率等策略，将虚拟机的备份复制到多个不同位置进行存储与归档（提供产品功能截图）</w:t>
            </w:r>
          </w:p>
          <w:p w14:paraId="4C0752FE">
            <w:pPr>
              <w:spacing w:line="360" w:lineRule="auto"/>
              <w:rPr>
                <w:rFonts w:ascii="宋体" w:hAnsi="宋体"/>
                <w:szCs w:val="24"/>
              </w:rPr>
            </w:pPr>
            <w:r>
              <w:rPr>
                <w:rFonts w:ascii="宋体" w:hAnsi="宋体"/>
                <w:szCs w:val="24"/>
              </w:rPr>
              <w:t>10、支持坏道扫描功能，可以在定时坏道扫描界面设置执行时间并执行坏道扫描任务，由用户设置扫描的扫描时间段定期对集群的硬盘进行扫描，及时发现潜藏的坏道。并支持发现坏道后，主动修复坏道区域数据。</w:t>
            </w:r>
          </w:p>
          <w:p w14:paraId="5007B3AA">
            <w:pPr>
              <w:spacing w:line="360" w:lineRule="auto"/>
              <w:rPr>
                <w:rFonts w:ascii="宋体" w:hAnsi="宋体"/>
                <w:szCs w:val="24"/>
              </w:rPr>
            </w:pPr>
            <w:r>
              <w:rPr>
                <w:rFonts w:ascii="宋体" w:hAnsi="宋体"/>
                <w:szCs w:val="24"/>
              </w:rPr>
              <w:t>11、支持在虚拟机开机和关机状态下对虚拟机的虚拟磁盘占用资源进行限制操作，可以设置磁盘IO限制，包括最大读写速率、最大读写次数。</w:t>
            </w:r>
          </w:p>
          <w:p w14:paraId="52844EFB">
            <w:pPr>
              <w:spacing w:line="360" w:lineRule="auto"/>
              <w:rPr>
                <w:rFonts w:ascii="宋体" w:hAnsi="宋体"/>
                <w:szCs w:val="24"/>
              </w:rPr>
            </w:pPr>
            <w:r>
              <w:rPr>
                <w:rFonts w:ascii="宋体" w:hAnsi="宋体"/>
                <w:szCs w:val="24"/>
              </w:rPr>
              <w:t>12、支持对云平台的软硬件指标进行监控、检测和分析，可以及时同步到移动端应用小程序，用户可通过移动端小程序查看用户资源的监控指标信息（提供产品功能截图）</w:t>
            </w:r>
          </w:p>
          <w:p w14:paraId="38D6E54D">
            <w:pPr>
              <w:spacing w:line="360" w:lineRule="auto"/>
              <w:rPr>
                <w:rFonts w:ascii="宋体" w:hAnsi="宋体"/>
                <w:szCs w:val="24"/>
              </w:rPr>
            </w:pPr>
            <w:r>
              <w:rPr>
                <w:rFonts w:ascii="宋体" w:hAnsi="宋体"/>
                <w:szCs w:val="24"/>
              </w:rPr>
              <w:t>13、支持对虚拟机或虚拟磁盘设置数据分布策略，当采用散列策略时，可以保证虚拟机以分布均匀优先为原则，打散分布均匀在各物理主机上，当采用聚合策略时，可以保证以性能优先为原则，实现IO本地读效果。</w:t>
            </w:r>
          </w:p>
          <w:p w14:paraId="272786F4">
            <w:pPr>
              <w:spacing w:line="360" w:lineRule="auto"/>
              <w:rPr>
                <w:rFonts w:ascii="宋体" w:hAnsi="宋体"/>
                <w:szCs w:val="24"/>
              </w:rPr>
            </w:pPr>
            <w:r>
              <w:rPr>
                <w:rFonts w:ascii="宋体" w:hAnsi="宋体"/>
                <w:szCs w:val="24"/>
              </w:rPr>
              <w:t>14、支持进行数据重建操作，重建过程中可以查看数据重建任务列表信息，包括对象名称、对象类型、数据量和优先级等；支持点击操作中的优先级对数据重建进行优先重建。</w:t>
            </w:r>
          </w:p>
          <w:p w14:paraId="3270F929">
            <w:pPr>
              <w:spacing w:line="360" w:lineRule="auto"/>
              <w:rPr>
                <w:rFonts w:ascii="宋体" w:hAnsi="宋体"/>
                <w:szCs w:val="24"/>
              </w:rPr>
            </w:pPr>
            <w:r>
              <w:rPr>
                <w:rFonts w:ascii="宋体" w:hAnsi="宋体"/>
                <w:szCs w:val="24"/>
              </w:rPr>
              <w:t>15、支持压缩传输功能，对同步到备站点的数据先压缩再进行传输，并可以根据实际带宽启用、禁用压缩传输功能。</w:t>
            </w:r>
          </w:p>
          <w:p w14:paraId="1F4FAFC2">
            <w:pPr>
              <w:spacing w:line="360" w:lineRule="auto"/>
              <w:rPr>
                <w:rFonts w:ascii="宋体" w:hAnsi="宋体"/>
                <w:szCs w:val="24"/>
              </w:rPr>
            </w:pPr>
            <w:r>
              <w:rPr>
                <w:rFonts w:ascii="宋体" w:hAnsi="宋体"/>
                <w:szCs w:val="24"/>
              </w:rPr>
              <w:t>16、支持编辑容灾策略信息，包括名称、受保护云主机等基本信息，容灾RPO、异地容灾位置等。</w:t>
            </w:r>
          </w:p>
        </w:tc>
      </w:tr>
    </w:tbl>
    <w:p w14:paraId="28F89DA1">
      <w:pPr>
        <w:rPr>
          <w:b/>
        </w:rPr>
      </w:pPr>
    </w:p>
    <w:p w14:paraId="726E3FE7"/>
    <w:p w14:paraId="60CF1AE6">
      <w:pPr>
        <w:pStyle w:val="4"/>
        <w:numPr>
          <w:ilvl w:val="0"/>
          <w:numId w:val="0"/>
        </w:num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4、超融合交换机</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6910"/>
      </w:tblGrid>
      <w:tr w14:paraId="0212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61A0C9EE">
            <w:pPr>
              <w:widowControl/>
              <w:spacing w:line="360" w:lineRule="auto"/>
              <w:jc w:val="center"/>
              <w:rPr>
                <w:rFonts w:ascii="宋体" w:hAnsi="宋体"/>
                <w:b/>
                <w:szCs w:val="24"/>
              </w:rPr>
            </w:pPr>
            <w:r>
              <w:rPr>
                <w:rFonts w:hint="eastAsia" w:ascii="宋体" w:hAnsi="宋体"/>
                <w:b/>
                <w:szCs w:val="24"/>
              </w:rPr>
              <w:t>指标项</w:t>
            </w:r>
          </w:p>
        </w:tc>
        <w:tc>
          <w:tcPr>
            <w:tcW w:w="6727"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706F8A1F">
            <w:pPr>
              <w:widowControl/>
              <w:spacing w:line="360" w:lineRule="auto"/>
              <w:jc w:val="center"/>
              <w:rPr>
                <w:rFonts w:ascii="宋体" w:hAnsi="宋体" w:cs="宋体"/>
                <w:b/>
                <w:kern w:val="0"/>
                <w:szCs w:val="24"/>
              </w:rPr>
            </w:pPr>
            <w:r>
              <w:rPr>
                <w:rFonts w:hint="eastAsia" w:ascii="宋体" w:hAnsi="宋体"/>
                <w:b/>
                <w:szCs w:val="24"/>
              </w:rPr>
              <w:t>指标要求</w:t>
            </w:r>
          </w:p>
        </w:tc>
      </w:tr>
      <w:tr w14:paraId="0AF1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vAlign w:val="center"/>
          </w:tcPr>
          <w:p w14:paraId="243EC035">
            <w:pPr>
              <w:spacing w:line="360" w:lineRule="auto"/>
              <w:jc w:val="center"/>
              <w:rPr>
                <w:rFonts w:ascii="宋体" w:hAnsi="宋体"/>
                <w:b/>
                <w:bCs/>
                <w:szCs w:val="24"/>
              </w:rPr>
            </w:pPr>
            <w:r>
              <w:rPr>
                <w:rFonts w:hint="eastAsia" w:ascii="宋体" w:hAnsi="宋体"/>
                <w:b/>
                <w:bCs/>
                <w:szCs w:val="24"/>
              </w:rPr>
              <w:t>配置要求</w:t>
            </w:r>
          </w:p>
        </w:tc>
        <w:tc>
          <w:tcPr>
            <w:tcW w:w="6727" w:type="dxa"/>
            <w:tcBorders>
              <w:top w:val="single" w:color="auto" w:sz="4" w:space="0"/>
              <w:left w:val="single" w:color="auto" w:sz="4" w:space="0"/>
              <w:bottom w:val="single" w:color="auto" w:sz="4" w:space="0"/>
              <w:right w:val="single" w:color="auto" w:sz="4" w:space="0"/>
            </w:tcBorders>
            <w:vAlign w:val="center"/>
          </w:tcPr>
          <w:p w14:paraId="2E558B32">
            <w:pPr>
              <w:spacing w:line="360" w:lineRule="auto"/>
              <w:rPr>
                <w:rFonts w:ascii="宋体" w:hAnsi="宋体"/>
                <w:szCs w:val="24"/>
              </w:rPr>
            </w:pPr>
            <w:r>
              <w:rPr>
                <w:rFonts w:ascii="宋体" w:hAnsi="宋体"/>
                <w:szCs w:val="24"/>
              </w:rPr>
              <w:t>1、★千兆电口≥16个，万兆光口≥8个，25G光口≥8个，万兆多模光模块≥16个。</w:t>
            </w:r>
          </w:p>
          <w:p w14:paraId="22C9BC8E">
            <w:pPr>
              <w:spacing w:line="360" w:lineRule="auto"/>
              <w:rPr>
                <w:rFonts w:ascii="宋体" w:hAnsi="宋体"/>
                <w:szCs w:val="24"/>
              </w:rPr>
            </w:pPr>
            <w:r>
              <w:rPr>
                <w:rFonts w:ascii="宋体" w:hAnsi="宋体"/>
                <w:szCs w:val="24"/>
              </w:rPr>
              <w:t>2、交换容量≥2.5Tbps，包转发率≥1000Mpps。</w:t>
            </w:r>
          </w:p>
          <w:p w14:paraId="305360B0">
            <w:pPr>
              <w:spacing w:line="360" w:lineRule="auto"/>
              <w:rPr>
                <w:rFonts w:ascii="宋体" w:hAnsi="宋体"/>
                <w:szCs w:val="24"/>
              </w:rPr>
            </w:pPr>
            <w:r>
              <w:rPr>
                <w:rFonts w:ascii="宋体" w:hAnsi="宋体"/>
                <w:szCs w:val="24"/>
              </w:rPr>
              <w:t>3、支持访问控制列表，支持通过源目的IP、源目的MAC、源目的四层端口号、协议类型等进行流分类；</w:t>
            </w:r>
          </w:p>
          <w:p w14:paraId="16606436">
            <w:pPr>
              <w:spacing w:line="360" w:lineRule="auto"/>
              <w:rPr>
                <w:rFonts w:ascii="宋体" w:hAnsi="宋体"/>
                <w:szCs w:val="24"/>
              </w:rPr>
            </w:pPr>
            <w:r>
              <w:rPr>
                <w:rFonts w:ascii="宋体" w:hAnsi="宋体"/>
                <w:szCs w:val="24"/>
              </w:rPr>
              <w:t>4、支持模块化可插拔双电源，且实配双电源。</w:t>
            </w:r>
          </w:p>
        </w:tc>
      </w:tr>
    </w:tbl>
    <w:p w14:paraId="1EBAE0FF"/>
    <w:p w14:paraId="0447D1EF">
      <w:pPr>
        <w:pStyle w:val="4"/>
        <w:numPr>
          <w:ilvl w:val="0"/>
          <w:numId w:val="0"/>
        </w:num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5、</w:t>
      </w:r>
      <w:r>
        <w:rPr>
          <w:rFonts w:ascii="宋体" w:hAnsi="宋体" w:eastAsia="宋体" w:cs="Times New Roman"/>
          <w:color w:val="auto"/>
          <w:sz w:val="24"/>
          <w:szCs w:val="24"/>
        </w:rPr>
        <w:tab/>
      </w:r>
      <w:r>
        <w:rPr>
          <w:rFonts w:ascii="宋体" w:hAnsi="宋体" w:eastAsia="宋体" w:cs="Times New Roman"/>
          <w:color w:val="auto"/>
          <w:sz w:val="24"/>
          <w:szCs w:val="24"/>
        </w:rPr>
        <w:t>数据中心防火墙</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6910"/>
      </w:tblGrid>
      <w:tr w14:paraId="013F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15D6A9C7">
            <w:pPr>
              <w:widowControl/>
              <w:spacing w:line="360" w:lineRule="auto"/>
              <w:jc w:val="center"/>
              <w:rPr>
                <w:rFonts w:ascii="宋体" w:hAnsi="宋体"/>
                <w:b/>
                <w:szCs w:val="24"/>
              </w:rPr>
            </w:pPr>
            <w:r>
              <w:rPr>
                <w:rFonts w:hint="eastAsia" w:ascii="宋体" w:hAnsi="宋体"/>
                <w:b/>
                <w:szCs w:val="24"/>
              </w:rPr>
              <w:t>指标项</w:t>
            </w:r>
          </w:p>
        </w:tc>
        <w:tc>
          <w:tcPr>
            <w:tcW w:w="6727"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673BEEAA">
            <w:pPr>
              <w:widowControl/>
              <w:spacing w:line="360" w:lineRule="auto"/>
              <w:jc w:val="center"/>
              <w:rPr>
                <w:rFonts w:ascii="宋体" w:hAnsi="宋体" w:cs="宋体"/>
                <w:b/>
                <w:kern w:val="0"/>
                <w:szCs w:val="24"/>
              </w:rPr>
            </w:pPr>
            <w:r>
              <w:rPr>
                <w:rFonts w:hint="eastAsia" w:ascii="宋体" w:hAnsi="宋体"/>
                <w:b/>
                <w:szCs w:val="24"/>
              </w:rPr>
              <w:t>指标要求</w:t>
            </w:r>
          </w:p>
        </w:tc>
      </w:tr>
      <w:tr w14:paraId="0F80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vAlign w:val="center"/>
          </w:tcPr>
          <w:p w14:paraId="087BD4DE">
            <w:pPr>
              <w:spacing w:line="360" w:lineRule="auto"/>
              <w:jc w:val="center"/>
              <w:rPr>
                <w:rFonts w:ascii="宋体" w:hAnsi="宋体"/>
                <w:b/>
                <w:bCs/>
                <w:szCs w:val="24"/>
              </w:rPr>
            </w:pPr>
            <w:r>
              <w:rPr>
                <w:rFonts w:hint="eastAsia" w:ascii="宋体" w:hAnsi="宋体"/>
                <w:b/>
                <w:bCs/>
                <w:szCs w:val="24"/>
              </w:rPr>
              <w:t>配置要求</w:t>
            </w:r>
          </w:p>
        </w:tc>
        <w:tc>
          <w:tcPr>
            <w:tcW w:w="6727" w:type="dxa"/>
            <w:tcBorders>
              <w:top w:val="single" w:color="auto" w:sz="4" w:space="0"/>
              <w:left w:val="single" w:color="auto" w:sz="4" w:space="0"/>
              <w:bottom w:val="single" w:color="auto" w:sz="4" w:space="0"/>
              <w:right w:val="single" w:color="auto" w:sz="4" w:space="0"/>
            </w:tcBorders>
            <w:vAlign w:val="center"/>
          </w:tcPr>
          <w:p w14:paraId="3D843F50">
            <w:pPr>
              <w:spacing w:line="360" w:lineRule="auto"/>
              <w:rPr>
                <w:rFonts w:ascii="宋体" w:hAnsi="宋体"/>
                <w:szCs w:val="24"/>
              </w:rPr>
            </w:pPr>
            <w:r>
              <w:rPr>
                <w:rFonts w:ascii="宋体" w:hAnsi="宋体"/>
                <w:szCs w:val="24"/>
              </w:rPr>
              <w:t>1、★产品CPU符合安全可靠测评公告要求。网络层吞吐量≥20G，应用层吞吐量≥18G，并发连接数≥800万，千兆电口≥6个，万兆光口≥2个。</w:t>
            </w:r>
          </w:p>
          <w:p w14:paraId="157DC7FE">
            <w:pPr>
              <w:spacing w:line="360" w:lineRule="auto"/>
              <w:rPr>
                <w:rFonts w:ascii="宋体" w:hAnsi="宋体"/>
                <w:szCs w:val="24"/>
              </w:rPr>
            </w:pPr>
            <w:r>
              <w:rPr>
                <w:rFonts w:ascii="宋体" w:hAnsi="宋体"/>
                <w:szCs w:val="24"/>
              </w:rPr>
              <w:t>2、支持路由类型、协议类型、网络对象、国家地区等条件进行自动选路的策略路由，支持不少于3种的调度算法，至少包括带宽比例、加权流量、线路优先等。</w:t>
            </w:r>
          </w:p>
          <w:p w14:paraId="156E0C48">
            <w:pPr>
              <w:spacing w:line="360" w:lineRule="auto"/>
              <w:rPr>
                <w:rFonts w:ascii="宋体" w:hAnsi="宋体"/>
                <w:szCs w:val="24"/>
              </w:rPr>
            </w:pPr>
            <w:r>
              <w:rPr>
                <w:rFonts w:ascii="宋体" w:hAnsi="宋体"/>
                <w:szCs w:val="24"/>
              </w:rPr>
              <w:t>3、支持链路连通性检查功能，支持基于3种以上协议对链路连通性进行探测，探测协议至少包括DNS解析、ARP探测、PING和BFD等方式。</w:t>
            </w:r>
          </w:p>
          <w:p w14:paraId="39D9D1B1">
            <w:pPr>
              <w:spacing w:line="360" w:lineRule="auto"/>
              <w:rPr>
                <w:rFonts w:ascii="宋体" w:hAnsi="宋体"/>
                <w:szCs w:val="24"/>
              </w:rPr>
            </w:pPr>
            <w:r>
              <w:rPr>
                <w:rFonts w:ascii="宋体" w:hAnsi="宋体"/>
                <w:szCs w:val="24"/>
              </w:rPr>
              <w:t>4、支持9000+应用的识别和控制，应用类型包括游戏、购物、图书百科、工作招聘、P2P下载、聊天工具、旅游出行、股票软件等类型应用进行检测与控制。</w:t>
            </w:r>
          </w:p>
          <w:p w14:paraId="744E3B3B">
            <w:pPr>
              <w:spacing w:line="360" w:lineRule="auto"/>
              <w:rPr>
                <w:rFonts w:ascii="宋体" w:hAnsi="宋体"/>
                <w:szCs w:val="24"/>
              </w:rPr>
            </w:pPr>
            <w:r>
              <w:rPr>
                <w:rFonts w:ascii="宋体" w:hAnsi="宋体"/>
                <w:szCs w:val="24"/>
              </w:rPr>
              <w:t>5、支持对SMTP、HTTP、FTP、SMB、POP3、HTTPS、IMAP等协议进行病毒防御。</w:t>
            </w:r>
          </w:p>
          <w:p w14:paraId="78432EA8">
            <w:pPr>
              <w:spacing w:line="360" w:lineRule="auto"/>
              <w:rPr>
                <w:rFonts w:ascii="宋体" w:hAnsi="宋体"/>
                <w:szCs w:val="24"/>
              </w:rPr>
            </w:pPr>
            <w:r>
              <w:rPr>
                <w:rFonts w:ascii="宋体" w:hAnsi="宋体"/>
                <w:szCs w:val="24"/>
              </w:rPr>
              <w:t>6、支持多维度流量控制功能，支持基于IP地址、用户、应用、时间设置流量控制策略，</w:t>
            </w:r>
          </w:p>
          <w:p w14:paraId="4461D659">
            <w:pPr>
              <w:spacing w:line="360" w:lineRule="auto"/>
              <w:rPr>
                <w:rFonts w:ascii="宋体" w:hAnsi="宋体"/>
                <w:szCs w:val="24"/>
              </w:rPr>
            </w:pPr>
            <w:r>
              <w:rPr>
                <w:rFonts w:ascii="宋体" w:hAnsi="宋体"/>
                <w:szCs w:val="24"/>
              </w:rPr>
              <w:t>7、具备独立的勒索病毒防护模块，支持对特定的业务进行勒索风险自动化评估，并依据评估结果自动生成防护策略。（提供产品功能截图）</w:t>
            </w:r>
          </w:p>
          <w:p w14:paraId="7868DCC9">
            <w:pPr>
              <w:spacing w:line="360" w:lineRule="auto"/>
              <w:rPr>
                <w:rFonts w:ascii="宋体" w:hAnsi="宋体"/>
                <w:szCs w:val="24"/>
              </w:rPr>
            </w:pPr>
            <w:r>
              <w:rPr>
                <w:rFonts w:ascii="宋体" w:hAnsi="宋体"/>
                <w:szCs w:val="24"/>
              </w:rPr>
              <w:t>8、支持管控非法、违规网站的访问行为，具备海量的URL分类库。</w:t>
            </w:r>
          </w:p>
          <w:p w14:paraId="69EAFDA8">
            <w:pPr>
              <w:spacing w:line="360" w:lineRule="auto"/>
              <w:rPr>
                <w:rFonts w:ascii="宋体" w:hAnsi="宋体"/>
                <w:szCs w:val="24"/>
              </w:rPr>
            </w:pPr>
            <w:r>
              <w:rPr>
                <w:rFonts w:ascii="宋体" w:hAnsi="宋体"/>
                <w:szCs w:val="24"/>
              </w:rPr>
              <w:t>9、内置不低于16000种漏洞规则，同时支持在控制台界面通过漏洞ID、漏洞名称、危险等级、漏洞CVE标识、漏洞描述等条件查询漏洞特征信息，支持用户自定义IPS规则（提供带有CMA、CNAS标识的检测报告证明，至少包含报告首页，对应功能测试页和报告尾页）</w:t>
            </w:r>
          </w:p>
          <w:p w14:paraId="771212EF">
            <w:pPr>
              <w:spacing w:line="360" w:lineRule="auto"/>
              <w:rPr>
                <w:rFonts w:ascii="宋体" w:hAnsi="宋体"/>
                <w:szCs w:val="24"/>
              </w:rPr>
            </w:pPr>
            <w:r>
              <w:rPr>
                <w:rFonts w:ascii="宋体" w:hAnsi="宋体"/>
                <w:szCs w:val="24"/>
              </w:rPr>
              <w:t>10、支持基于IMAP、FTP、RDP、VNC、SSH、TELNET、ORACLE、MYSQL、MSSQL等应用协议进行深度检测与防护。</w:t>
            </w:r>
          </w:p>
          <w:p w14:paraId="0B6D532A">
            <w:pPr>
              <w:spacing w:line="360" w:lineRule="auto"/>
              <w:rPr>
                <w:rFonts w:ascii="宋体" w:hAnsi="宋体"/>
                <w:szCs w:val="24"/>
              </w:rPr>
            </w:pPr>
            <w:r>
              <w:rPr>
                <w:rFonts w:ascii="宋体" w:hAnsi="宋体"/>
                <w:szCs w:val="24"/>
              </w:rPr>
              <w:t>11、支持管理员双因素认证功能，用户通过用户名/密码和Key等不同方式登陆产品管理界面。</w:t>
            </w:r>
          </w:p>
          <w:p w14:paraId="11A203FF">
            <w:pPr>
              <w:spacing w:line="360" w:lineRule="auto"/>
              <w:rPr>
                <w:rFonts w:ascii="宋体" w:hAnsi="宋体"/>
                <w:szCs w:val="24"/>
              </w:rPr>
            </w:pPr>
            <w:r>
              <w:rPr>
                <w:rFonts w:ascii="宋体" w:hAnsi="宋体"/>
                <w:szCs w:val="24"/>
              </w:rPr>
              <w:t>12、支持双机模式部署，当主机故障时，双机切换时不丢包，并可实现双机部署下升级不断网。</w:t>
            </w:r>
          </w:p>
        </w:tc>
      </w:tr>
    </w:tbl>
    <w:p w14:paraId="732D6E64"/>
    <w:p w14:paraId="524D7246">
      <w:pPr>
        <w:pStyle w:val="4"/>
        <w:numPr>
          <w:ilvl w:val="0"/>
          <w:numId w:val="0"/>
        </w:num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6、</w:t>
      </w:r>
      <w:r>
        <w:rPr>
          <w:rFonts w:ascii="宋体" w:hAnsi="宋体" w:eastAsia="宋体" w:cs="Times New Roman"/>
          <w:color w:val="auto"/>
          <w:sz w:val="24"/>
          <w:szCs w:val="24"/>
        </w:rPr>
        <w:tab/>
      </w:r>
      <w:r>
        <w:rPr>
          <w:rFonts w:ascii="宋体" w:hAnsi="宋体" w:eastAsia="宋体" w:cs="Times New Roman"/>
          <w:color w:val="auto"/>
          <w:sz w:val="24"/>
          <w:szCs w:val="24"/>
        </w:rPr>
        <w:t>推理一体机</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6910"/>
      </w:tblGrid>
      <w:tr w14:paraId="6E67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75AAC86A">
            <w:pPr>
              <w:widowControl/>
              <w:spacing w:line="360" w:lineRule="auto"/>
              <w:jc w:val="center"/>
              <w:rPr>
                <w:rFonts w:ascii="宋体" w:hAnsi="宋体"/>
                <w:b/>
                <w:szCs w:val="24"/>
              </w:rPr>
            </w:pPr>
            <w:r>
              <w:rPr>
                <w:rFonts w:hint="eastAsia" w:ascii="宋体" w:hAnsi="宋体"/>
                <w:b/>
                <w:szCs w:val="24"/>
              </w:rPr>
              <w:t>指标项</w:t>
            </w:r>
          </w:p>
        </w:tc>
        <w:tc>
          <w:tcPr>
            <w:tcW w:w="6727"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33D7871D">
            <w:pPr>
              <w:widowControl/>
              <w:spacing w:line="360" w:lineRule="auto"/>
              <w:jc w:val="center"/>
              <w:rPr>
                <w:rFonts w:ascii="宋体" w:hAnsi="宋体" w:cs="宋体"/>
                <w:b/>
                <w:kern w:val="0"/>
                <w:szCs w:val="24"/>
              </w:rPr>
            </w:pPr>
            <w:r>
              <w:rPr>
                <w:rFonts w:hint="eastAsia" w:ascii="宋体" w:hAnsi="宋体"/>
                <w:b/>
                <w:szCs w:val="24"/>
              </w:rPr>
              <w:t>指标要求</w:t>
            </w:r>
          </w:p>
        </w:tc>
      </w:tr>
      <w:tr w14:paraId="3305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vAlign w:val="center"/>
          </w:tcPr>
          <w:p w14:paraId="0A11D8E5">
            <w:pPr>
              <w:spacing w:line="360" w:lineRule="auto"/>
              <w:jc w:val="center"/>
              <w:rPr>
                <w:rFonts w:ascii="宋体" w:hAnsi="宋体"/>
                <w:b/>
                <w:bCs/>
                <w:szCs w:val="24"/>
              </w:rPr>
            </w:pPr>
            <w:r>
              <w:rPr>
                <w:rFonts w:hint="eastAsia" w:ascii="宋体" w:hAnsi="宋体"/>
                <w:b/>
                <w:bCs/>
                <w:szCs w:val="24"/>
              </w:rPr>
              <w:t>配置要求</w:t>
            </w:r>
          </w:p>
        </w:tc>
        <w:tc>
          <w:tcPr>
            <w:tcW w:w="6727" w:type="dxa"/>
            <w:tcBorders>
              <w:top w:val="single" w:color="auto" w:sz="4" w:space="0"/>
              <w:left w:val="single" w:color="auto" w:sz="4" w:space="0"/>
              <w:bottom w:val="single" w:color="auto" w:sz="4" w:space="0"/>
              <w:right w:val="single" w:color="auto" w:sz="4" w:space="0"/>
            </w:tcBorders>
            <w:vAlign w:val="center"/>
          </w:tcPr>
          <w:p w14:paraId="72E7E2C4">
            <w:pPr>
              <w:spacing w:line="360" w:lineRule="auto"/>
              <w:rPr>
                <w:rFonts w:ascii="宋体" w:hAnsi="宋体"/>
                <w:szCs w:val="24"/>
              </w:rPr>
            </w:pPr>
            <w:r>
              <w:rPr>
                <w:rFonts w:hint="eastAsia" w:ascii="宋体" w:hAnsi="宋体"/>
                <w:szCs w:val="24"/>
              </w:rPr>
              <w:t>1、支持部署</w:t>
            </w:r>
            <w:r>
              <w:rPr>
                <w:rFonts w:ascii="宋体" w:hAnsi="宋体"/>
                <w:szCs w:val="24"/>
              </w:rPr>
              <w:t>Deepseek R1、Deepseek V3、Qwen2（7B、72B）、Qwen2.5及Qwen3等大模型。</w:t>
            </w:r>
          </w:p>
          <w:p w14:paraId="44F37403">
            <w:pPr>
              <w:spacing w:line="360" w:lineRule="auto"/>
              <w:rPr>
                <w:rFonts w:ascii="宋体" w:hAnsi="宋体"/>
                <w:szCs w:val="24"/>
              </w:rPr>
            </w:pPr>
            <w:r>
              <w:rPr>
                <w:rFonts w:hint="eastAsia" w:ascii="宋体" w:hAnsi="宋体"/>
                <w:szCs w:val="24"/>
              </w:rPr>
              <w:t>2、★≥</w:t>
            </w:r>
            <w:r>
              <w:rPr>
                <w:rFonts w:ascii="宋体" w:hAnsi="宋体"/>
                <w:szCs w:val="24"/>
              </w:rPr>
              <w:t>2颗国产化CPU，单CPU主频≥2.6GHz，核数≥48C/96线程；配置≥512G DDR5内存，≥2块960G SSD，≥2块3.84T SATA SSD配置；配置≥4个千兆电接口，≥1个2端口10G网卡（含10G多模光模块），冗余电源。</w:t>
            </w:r>
          </w:p>
          <w:p w14:paraId="4AB665D7">
            <w:pPr>
              <w:spacing w:line="360" w:lineRule="auto"/>
              <w:rPr>
                <w:rFonts w:ascii="宋体" w:hAnsi="宋体"/>
                <w:szCs w:val="24"/>
              </w:rPr>
            </w:pPr>
            <w:r>
              <w:rPr>
                <w:rFonts w:ascii="宋体" w:hAnsi="宋体"/>
                <w:szCs w:val="24"/>
              </w:rPr>
              <w:t>3</w:t>
            </w:r>
            <w:r>
              <w:rPr>
                <w:rFonts w:hint="eastAsia" w:ascii="宋体" w:hAnsi="宋体"/>
                <w:szCs w:val="24"/>
              </w:rPr>
              <w:t>、本次一体机所配备的</w:t>
            </w:r>
            <w:r>
              <w:rPr>
                <w:rFonts w:ascii="宋体" w:hAnsi="宋体"/>
                <w:szCs w:val="24"/>
              </w:rPr>
              <w:t>CPU(中央处理器)内置密码模块或密码协处理器，可实现SM2、SM3和SM4国密算法的硬件加速。提供该CPU具有上述密码技术特性的证明材料，并加盖芯片原厂公章</w:t>
            </w:r>
            <w:r>
              <w:rPr>
                <w:rFonts w:hint="eastAsia" w:ascii="宋体" w:hAnsi="宋体"/>
                <w:szCs w:val="24"/>
              </w:rPr>
              <w:t>。</w:t>
            </w:r>
          </w:p>
          <w:p w14:paraId="526DBF46">
            <w:pPr>
              <w:spacing w:line="360" w:lineRule="auto"/>
              <w:rPr>
                <w:rFonts w:ascii="宋体" w:hAnsi="宋体"/>
                <w:szCs w:val="24"/>
              </w:rPr>
            </w:pPr>
            <w:r>
              <w:rPr>
                <w:rFonts w:hint="eastAsia" w:ascii="宋体" w:hAnsi="宋体"/>
                <w:szCs w:val="24"/>
              </w:rPr>
              <w:t>4、★配置≥</w:t>
            </w:r>
            <w:r>
              <w:rPr>
                <w:rFonts w:ascii="宋体" w:hAnsi="宋体"/>
                <w:szCs w:val="24"/>
              </w:rPr>
              <w:t>8张算力卡，加速卡采用单卡单芯片架构设计，单卡FP32算力≥49TFLOPS；TF32算力≥98TFLOPS；BF16算力≥196TFLOPS；显存容量≥64GB,显存带宽≥896GB/s</w:t>
            </w:r>
          </w:p>
          <w:p w14:paraId="574FB5EC">
            <w:pPr>
              <w:spacing w:line="360" w:lineRule="auto"/>
              <w:rPr>
                <w:rFonts w:ascii="宋体" w:hAnsi="宋体"/>
                <w:szCs w:val="24"/>
              </w:rPr>
            </w:pPr>
            <w:r>
              <w:rPr>
                <w:rFonts w:ascii="宋体" w:hAnsi="宋体"/>
                <w:szCs w:val="24"/>
              </w:rPr>
              <w:t>5</w:t>
            </w:r>
            <w:r>
              <w:rPr>
                <w:rFonts w:hint="eastAsia" w:ascii="宋体" w:hAnsi="宋体"/>
                <w:szCs w:val="24"/>
              </w:rPr>
              <w:t>、≥</w:t>
            </w:r>
            <w:r>
              <w:rPr>
                <w:rFonts w:ascii="宋体" w:hAnsi="宋体"/>
                <w:szCs w:val="24"/>
              </w:rPr>
              <w:t>5个USB接口，具备后部独立的管理端口，提供官网链接和截图作为证明材料，并加盖制造商公章</w:t>
            </w:r>
            <w:r>
              <w:rPr>
                <w:rFonts w:hint="eastAsia" w:ascii="宋体" w:hAnsi="宋体"/>
                <w:szCs w:val="24"/>
              </w:rPr>
              <w:t>。</w:t>
            </w:r>
          </w:p>
          <w:p w14:paraId="69BA8176">
            <w:pPr>
              <w:spacing w:line="360" w:lineRule="auto"/>
              <w:rPr>
                <w:rFonts w:ascii="宋体" w:hAnsi="宋体"/>
                <w:szCs w:val="24"/>
              </w:rPr>
            </w:pPr>
            <w:r>
              <w:rPr>
                <w:rFonts w:hint="eastAsia" w:ascii="宋体" w:hAnsi="宋体"/>
                <w:szCs w:val="24"/>
              </w:rPr>
              <w:t>6、配置一体机管理软件，以图形化的方式显示服务器的温度传感器信息和温度告警，提供</w:t>
            </w:r>
            <w:r>
              <w:rPr>
                <w:rFonts w:ascii="宋体" w:hAnsi="宋体"/>
                <w:szCs w:val="24"/>
              </w:rPr>
              <w:t>CMA和CNAS标识的检测报告作为证明材料。</w:t>
            </w:r>
          </w:p>
        </w:tc>
      </w:tr>
    </w:tbl>
    <w:p w14:paraId="01650CEE"/>
    <w:p w14:paraId="0025C6F8">
      <w:pPr>
        <w:pStyle w:val="4"/>
        <w:numPr>
          <w:ilvl w:val="0"/>
          <w:numId w:val="0"/>
        </w:num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7、</w:t>
      </w:r>
      <w:r>
        <w:rPr>
          <w:rFonts w:ascii="宋体" w:hAnsi="宋体" w:eastAsia="宋体" w:cs="Times New Roman"/>
          <w:color w:val="auto"/>
          <w:sz w:val="24"/>
          <w:szCs w:val="24"/>
        </w:rPr>
        <w:tab/>
      </w:r>
      <w:r>
        <w:rPr>
          <w:rFonts w:ascii="宋体" w:hAnsi="宋体" w:eastAsia="宋体" w:cs="Times New Roman"/>
          <w:color w:val="auto"/>
          <w:sz w:val="24"/>
          <w:szCs w:val="24"/>
        </w:rPr>
        <w:t>堡垒机</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6910"/>
      </w:tblGrid>
      <w:tr w14:paraId="38299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5470C725">
            <w:pPr>
              <w:widowControl/>
              <w:spacing w:line="360" w:lineRule="auto"/>
              <w:jc w:val="center"/>
              <w:rPr>
                <w:rFonts w:ascii="宋体" w:hAnsi="宋体"/>
                <w:b/>
                <w:szCs w:val="24"/>
              </w:rPr>
            </w:pPr>
            <w:r>
              <w:rPr>
                <w:rFonts w:hint="eastAsia" w:ascii="宋体" w:hAnsi="宋体"/>
                <w:b/>
                <w:szCs w:val="24"/>
              </w:rPr>
              <w:t>指标项</w:t>
            </w:r>
          </w:p>
        </w:tc>
        <w:tc>
          <w:tcPr>
            <w:tcW w:w="6727"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0594CA82">
            <w:pPr>
              <w:widowControl/>
              <w:spacing w:line="360" w:lineRule="auto"/>
              <w:jc w:val="center"/>
              <w:rPr>
                <w:rFonts w:ascii="宋体" w:hAnsi="宋体" w:cs="宋体"/>
                <w:b/>
                <w:kern w:val="0"/>
                <w:szCs w:val="24"/>
              </w:rPr>
            </w:pPr>
            <w:r>
              <w:rPr>
                <w:rFonts w:hint="eastAsia" w:ascii="宋体" w:hAnsi="宋体"/>
                <w:b/>
                <w:szCs w:val="24"/>
              </w:rPr>
              <w:t>指标要求</w:t>
            </w:r>
          </w:p>
        </w:tc>
      </w:tr>
      <w:tr w14:paraId="7E8B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vAlign w:val="center"/>
          </w:tcPr>
          <w:p w14:paraId="2FB4E323">
            <w:pPr>
              <w:spacing w:line="360" w:lineRule="auto"/>
              <w:jc w:val="center"/>
              <w:rPr>
                <w:rFonts w:ascii="宋体" w:hAnsi="宋体"/>
                <w:b/>
                <w:bCs/>
                <w:szCs w:val="24"/>
              </w:rPr>
            </w:pPr>
            <w:r>
              <w:rPr>
                <w:rFonts w:hint="eastAsia" w:ascii="宋体" w:hAnsi="宋体"/>
                <w:b/>
                <w:bCs/>
                <w:szCs w:val="24"/>
              </w:rPr>
              <w:t>配置要求</w:t>
            </w:r>
          </w:p>
        </w:tc>
        <w:tc>
          <w:tcPr>
            <w:tcW w:w="6727" w:type="dxa"/>
            <w:tcBorders>
              <w:top w:val="single" w:color="auto" w:sz="4" w:space="0"/>
              <w:left w:val="single" w:color="auto" w:sz="4" w:space="0"/>
              <w:bottom w:val="single" w:color="auto" w:sz="4" w:space="0"/>
              <w:right w:val="single" w:color="auto" w:sz="4" w:space="0"/>
            </w:tcBorders>
            <w:vAlign w:val="center"/>
          </w:tcPr>
          <w:p w14:paraId="66DD800E">
            <w:pPr>
              <w:spacing w:line="360" w:lineRule="auto"/>
              <w:rPr>
                <w:rFonts w:ascii="宋体" w:hAnsi="宋体"/>
                <w:szCs w:val="24"/>
              </w:rPr>
            </w:pPr>
            <w:r>
              <w:rPr>
                <w:rFonts w:ascii="宋体" w:hAnsi="宋体"/>
                <w:szCs w:val="24"/>
              </w:rPr>
              <w:t>1、★网络接口≥6千兆电口，≥4千兆光口。资源授权数≥150点</w:t>
            </w:r>
          </w:p>
          <w:p w14:paraId="5A86825C">
            <w:pPr>
              <w:spacing w:line="360" w:lineRule="auto"/>
              <w:rPr>
                <w:rFonts w:ascii="宋体" w:hAnsi="宋体"/>
                <w:szCs w:val="24"/>
              </w:rPr>
            </w:pPr>
            <w:r>
              <w:rPr>
                <w:rFonts w:ascii="宋体" w:hAnsi="宋体"/>
                <w:szCs w:val="24"/>
              </w:rPr>
              <w:t>2、支持通过动作流配置提供广泛的应用接入支持，无论被接入的资源如何设计登录动作，通过动作流配置都可以实现单点登陆和审计接入</w:t>
            </w:r>
          </w:p>
          <w:p w14:paraId="7543E520">
            <w:pPr>
              <w:spacing w:line="360" w:lineRule="auto"/>
              <w:rPr>
                <w:rFonts w:ascii="宋体" w:hAnsi="宋体"/>
                <w:szCs w:val="24"/>
              </w:rPr>
            </w:pPr>
            <w:r>
              <w:rPr>
                <w:rFonts w:ascii="宋体" w:hAnsi="宋体"/>
                <w:szCs w:val="24"/>
              </w:rPr>
              <w:t>3、支持静态口令认证、手机动态口令认证、Usbkey（数字证书）认证、短信认证（移动云mas)、AD域/LADP认证、Radius认证等认证方式；并支持各种认证方式和静态口令组合认证。</w:t>
            </w:r>
          </w:p>
          <w:p w14:paraId="48B9F76F">
            <w:pPr>
              <w:spacing w:line="360" w:lineRule="auto"/>
              <w:rPr>
                <w:rFonts w:ascii="宋体" w:hAnsi="宋体"/>
                <w:szCs w:val="24"/>
              </w:rPr>
            </w:pPr>
            <w:r>
              <w:rPr>
                <w:rFonts w:ascii="宋体" w:hAnsi="宋体"/>
                <w:szCs w:val="24"/>
              </w:rPr>
              <w:t>4、支持配置资源访问时间规则，即使授权范围内的资源，需在指定时间范围内才可发起访问，确保运维在可信时间范围</w:t>
            </w:r>
          </w:p>
          <w:p w14:paraId="21562C13">
            <w:pPr>
              <w:spacing w:line="360" w:lineRule="auto"/>
              <w:rPr>
                <w:rFonts w:ascii="宋体" w:hAnsi="宋体"/>
                <w:szCs w:val="24"/>
              </w:rPr>
            </w:pPr>
            <w:r>
              <w:rPr>
                <w:rFonts w:ascii="宋体" w:hAnsi="宋体"/>
                <w:szCs w:val="24"/>
              </w:rPr>
              <w:t>5、支持以图形方式查看用户占比、在线用户数量、以及活跃用户</w:t>
            </w:r>
          </w:p>
          <w:p w14:paraId="01E5AB13">
            <w:pPr>
              <w:spacing w:line="360" w:lineRule="auto"/>
              <w:rPr>
                <w:rFonts w:ascii="宋体" w:hAnsi="宋体"/>
                <w:szCs w:val="24"/>
              </w:rPr>
            </w:pPr>
            <w:r>
              <w:rPr>
                <w:rFonts w:ascii="宋体" w:hAnsi="宋体"/>
                <w:szCs w:val="24"/>
              </w:rPr>
              <w:t>6、支持批量导入、导出资源信息；支持手动添加、删除、编辑、查询资源，支持变更默认运维端口</w:t>
            </w:r>
          </w:p>
          <w:p w14:paraId="62E0A708">
            <w:pPr>
              <w:spacing w:line="360" w:lineRule="auto"/>
              <w:rPr>
                <w:rFonts w:ascii="宋体" w:hAnsi="宋体"/>
                <w:szCs w:val="24"/>
              </w:rPr>
            </w:pPr>
            <w:r>
              <w:rPr>
                <w:rFonts w:ascii="宋体" w:hAnsi="宋体"/>
                <w:szCs w:val="24"/>
              </w:rPr>
              <w:t>7、支持批量导入、导出用户信息；支持用户手动添加、删除、编辑、设定角色、单独指定登陆认证方式、设定用户有效期。</w:t>
            </w:r>
          </w:p>
          <w:p w14:paraId="5F74C169">
            <w:pPr>
              <w:spacing w:line="360" w:lineRule="auto"/>
              <w:rPr>
                <w:rFonts w:ascii="宋体" w:hAnsi="宋体"/>
                <w:szCs w:val="24"/>
              </w:rPr>
            </w:pPr>
            <w:r>
              <w:rPr>
                <w:rFonts w:ascii="宋体" w:hAnsi="宋体"/>
                <w:szCs w:val="24"/>
              </w:rPr>
              <w:t>8、支持在授权基础上自定义访问审批流程，可设置一级或多级审批人，每级审批可指定通过投票数，需逐级审批通过才可最终发起运维操作</w:t>
            </w:r>
          </w:p>
          <w:p w14:paraId="1D2CD262">
            <w:pPr>
              <w:spacing w:line="360" w:lineRule="auto"/>
              <w:rPr>
                <w:rFonts w:ascii="宋体" w:hAnsi="宋体"/>
                <w:szCs w:val="24"/>
              </w:rPr>
            </w:pPr>
            <w:r>
              <w:rPr>
                <w:rFonts w:ascii="宋体" w:hAnsi="宋体"/>
                <w:szCs w:val="24"/>
              </w:rPr>
              <w:t>9、支持定期变更目标设备真实口令，支持自定义口令变更周期和口令强度。口令变更方式至少支持手动指定固定口令、通过密码表生成口令、依照设备挂载的口令策略生成随机口令、依照密码策略生成同一口令等方式</w:t>
            </w:r>
          </w:p>
          <w:p w14:paraId="5B8FA908">
            <w:pPr>
              <w:spacing w:line="360" w:lineRule="auto"/>
              <w:rPr>
                <w:rFonts w:ascii="宋体" w:hAnsi="宋体"/>
                <w:szCs w:val="24"/>
              </w:rPr>
            </w:pPr>
            <w:r>
              <w:rPr>
                <w:rFonts w:ascii="宋体" w:hAnsi="宋体"/>
                <w:szCs w:val="24"/>
              </w:rPr>
              <w:t>10、支持命令审批规则，用户执行高危命令时需要管理员审批后才允许执行；命令审批规则可以指定运维人员、访问设备、设备账号及命令审批人；</w:t>
            </w:r>
          </w:p>
          <w:p w14:paraId="497A93F9">
            <w:pPr>
              <w:spacing w:line="360" w:lineRule="auto"/>
              <w:rPr>
                <w:rFonts w:ascii="宋体" w:hAnsi="宋体"/>
                <w:szCs w:val="24"/>
              </w:rPr>
            </w:pPr>
            <w:r>
              <w:rPr>
                <w:rFonts w:ascii="宋体" w:hAnsi="宋体"/>
                <w:szCs w:val="24"/>
              </w:rPr>
              <w:t>11、支持提供系统内部操作审计，包括管理员和运维用户的登录、登出、对系统的配置操作、账号属性修改等系统管理操作</w:t>
            </w:r>
          </w:p>
        </w:tc>
      </w:tr>
    </w:tbl>
    <w:p w14:paraId="13E90E50"/>
    <w:p w14:paraId="444EBBE9">
      <w:pPr>
        <w:pStyle w:val="4"/>
        <w:numPr>
          <w:ilvl w:val="0"/>
          <w:numId w:val="0"/>
        </w:num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8、</w:t>
      </w:r>
      <w:r>
        <w:rPr>
          <w:rFonts w:ascii="宋体" w:hAnsi="宋体" w:eastAsia="宋体" w:cs="Times New Roman"/>
          <w:color w:val="auto"/>
          <w:sz w:val="24"/>
          <w:szCs w:val="24"/>
        </w:rPr>
        <w:tab/>
      </w:r>
      <w:r>
        <w:rPr>
          <w:rFonts w:ascii="宋体" w:hAnsi="宋体" w:eastAsia="宋体" w:cs="Times New Roman"/>
          <w:color w:val="auto"/>
          <w:sz w:val="24"/>
          <w:szCs w:val="24"/>
        </w:rPr>
        <w:t>安全运营服务</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6910"/>
      </w:tblGrid>
      <w:tr w14:paraId="1CA98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55C70416">
            <w:pPr>
              <w:widowControl/>
              <w:spacing w:line="360" w:lineRule="auto"/>
              <w:jc w:val="center"/>
              <w:rPr>
                <w:rFonts w:ascii="宋体" w:hAnsi="宋体"/>
                <w:b/>
                <w:szCs w:val="24"/>
              </w:rPr>
            </w:pPr>
            <w:r>
              <w:rPr>
                <w:rFonts w:hint="eastAsia" w:ascii="宋体" w:hAnsi="宋体"/>
                <w:b/>
                <w:szCs w:val="24"/>
              </w:rPr>
              <w:t>指标项</w:t>
            </w:r>
          </w:p>
        </w:tc>
        <w:tc>
          <w:tcPr>
            <w:tcW w:w="6727"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4EF4B3FB">
            <w:pPr>
              <w:widowControl/>
              <w:spacing w:line="360" w:lineRule="auto"/>
              <w:jc w:val="center"/>
              <w:rPr>
                <w:rFonts w:ascii="宋体" w:hAnsi="宋体" w:cs="宋体"/>
                <w:b/>
                <w:kern w:val="0"/>
                <w:szCs w:val="24"/>
              </w:rPr>
            </w:pPr>
            <w:r>
              <w:rPr>
                <w:rFonts w:hint="eastAsia" w:ascii="宋体" w:hAnsi="宋体"/>
                <w:b/>
                <w:szCs w:val="24"/>
              </w:rPr>
              <w:t>指标要求</w:t>
            </w:r>
          </w:p>
        </w:tc>
      </w:tr>
      <w:tr w14:paraId="2650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vAlign w:val="center"/>
          </w:tcPr>
          <w:p w14:paraId="2E5CF1F4">
            <w:pPr>
              <w:spacing w:line="360" w:lineRule="auto"/>
              <w:jc w:val="center"/>
              <w:rPr>
                <w:rFonts w:ascii="宋体" w:hAnsi="宋体"/>
                <w:b/>
                <w:bCs/>
                <w:szCs w:val="24"/>
              </w:rPr>
            </w:pPr>
            <w:r>
              <w:rPr>
                <w:rFonts w:hint="eastAsia" w:ascii="宋体" w:hAnsi="宋体"/>
                <w:b/>
                <w:bCs/>
                <w:szCs w:val="24"/>
              </w:rPr>
              <w:t>服务要求</w:t>
            </w:r>
          </w:p>
        </w:tc>
        <w:tc>
          <w:tcPr>
            <w:tcW w:w="6727" w:type="dxa"/>
            <w:tcBorders>
              <w:top w:val="single" w:color="auto" w:sz="4" w:space="0"/>
              <w:left w:val="single" w:color="auto" w:sz="4" w:space="0"/>
              <w:bottom w:val="single" w:color="auto" w:sz="4" w:space="0"/>
              <w:right w:val="single" w:color="auto" w:sz="4" w:space="0"/>
            </w:tcBorders>
            <w:vAlign w:val="center"/>
          </w:tcPr>
          <w:p w14:paraId="0D83CE23">
            <w:pPr>
              <w:spacing w:line="360" w:lineRule="auto"/>
              <w:rPr>
                <w:rFonts w:ascii="宋体" w:hAnsi="宋体"/>
                <w:szCs w:val="24"/>
              </w:rPr>
            </w:pPr>
            <w:r>
              <w:rPr>
                <w:rFonts w:ascii="宋体" w:hAnsi="宋体"/>
                <w:szCs w:val="24"/>
              </w:rPr>
              <w:t>1、★提供不少于10个IP资产为期1年的7*24小时安全运营服务。</w:t>
            </w:r>
          </w:p>
          <w:p w14:paraId="1487D48F">
            <w:pPr>
              <w:spacing w:line="360" w:lineRule="auto"/>
              <w:rPr>
                <w:rFonts w:ascii="宋体" w:hAnsi="宋体"/>
                <w:szCs w:val="24"/>
              </w:rPr>
            </w:pPr>
            <w:r>
              <w:rPr>
                <w:rFonts w:ascii="宋体" w:hAnsi="宋体"/>
                <w:szCs w:val="24"/>
              </w:rPr>
              <w:t>2、需提供服务成果展示门户，应具备服务质量可视化展示，能通过可视化的数据，清晰的了解安全专家的服务水平，至少包括高危可利用漏洞准确率、高危可利用漏洞防护率、威胁闭环率、威胁平均分析研判时效、威胁平均遏制时效、事件闭环率、事件平均分析研判时效、事件平均闭环时效。（提供服务成果展示门户中服务质量监控相关的截图证明）</w:t>
            </w:r>
          </w:p>
          <w:p w14:paraId="39F21C22">
            <w:pPr>
              <w:spacing w:line="360" w:lineRule="auto"/>
              <w:rPr>
                <w:rFonts w:ascii="宋体" w:hAnsi="宋体"/>
                <w:szCs w:val="24"/>
              </w:rPr>
            </w:pPr>
            <w:r>
              <w:rPr>
                <w:rFonts w:ascii="宋体" w:hAnsi="宋体"/>
                <w:szCs w:val="24"/>
              </w:rPr>
              <w:t>3、提供安全工具对医院服务资产开展互联网暴露面探测，以梳理资产面向互联网的开放情况，快速发现违规暴露在互联网中的资产及存在的风险并进行处置，实现对暴露面资产可管可控，降低暴露面资产的风险。</w:t>
            </w:r>
          </w:p>
          <w:p w14:paraId="182E284F">
            <w:pPr>
              <w:spacing w:line="360" w:lineRule="auto"/>
              <w:rPr>
                <w:rFonts w:ascii="宋体" w:hAnsi="宋体"/>
                <w:szCs w:val="24"/>
              </w:rPr>
            </w:pPr>
            <w:r>
              <w:rPr>
                <w:rFonts w:ascii="宋体" w:hAnsi="宋体"/>
                <w:szCs w:val="24"/>
              </w:rPr>
              <w:t>4、针对服务范围内资产扫描到的高危可利用漏洞，需为医院做好每一个高危可利用漏洞的防护工作，包括但不限于为医院提供漏洞修复方案和安全设备防护策略，以及帮助医院配置防护规则，保障医院不因此出现重大网络安全事件和声誉、经济损失；（提供服务平台具备高危可利用漏洞防护规则的证明，并且支持对扫描到的高危可利用漏洞能够自动匹配漏洞防护规则的证明）</w:t>
            </w:r>
          </w:p>
          <w:p w14:paraId="3DCD1E04">
            <w:pPr>
              <w:spacing w:line="360" w:lineRule="auto"/>
              <w:rPr>
                <w:rFonts w:ascii="宋体" w:hAnsi="宋体"/>
                <w:szCs w:val="24"/>
              </w:rPr>
            </w:pPr>
            <w:r>
              <w:rPr>
                <w:rFonts w:ascii="宋体" w:hAnsi="宋体"/>
                <w:szCs w:val="24"/>
              </w:rPr>
              <w:t>5、需具备安全专家每月对医院的安全设备的防护策略进行检查，确保安全设备上的安全策略始终处于最优水平，针对威胁能起到最好的防护效果。投标方云端服务平台应当具备丰富的策略检查工具。</w:t>
            </w:r>
          </w:p>
          <w:p w14:paraId="01054597">
            <w:pPr>
              <w:spacing w:line="360" w:lineRule="auto"/>
              <w:rPr>
                <w:rFonts w:ascii="宋体" w:hAnsi="宋体"/>
                <w:szCs w:val="24"/>
              </w:rPr>
            </w:pPr>
            <w:r>
              <w:rPr>
                <w:rFonts w:ascii="宋体" w:hAnsi="宋体"/>
                <w:szCs w:val="24"/>
              </w:rPr>
              <w:t>6、需为医院配置一名经验丰富的安全专家作为专属服务经理，并且实时响应医院咨询的网络安全相关问题；</w:t>
            </w:r>
          </w:p>
          <w:p w14:paraId="424B65EE">
            <w:pPr>
              <w:spacing w:line="360" w:lineRule="auto"/>
              <w:rPr>
                <w:rFonts w:ascii="宋体" w:hAnsi="宋体"/>
                <w:szCs w:val="24"/>
              </w:rPr>
            </w:pPr>
            <w:r>
              <w:rPr>
                <w:rFonts w:ascii="宋体" w:hAnsi="宋体"/>
                <w:szCs w:val="24"/>
              </w:rPr>
              <w:t>7、需为医院提供7*24小时的安全守护，不论是白天、黑夜、节假日投标方都应该能做到7*24H在线服务，并且在节假日期间应当每日为医院提供节假日值守快报。</w:t>
            </w:r>
          </w:p>
          <w:p w14:paraId="61923E84">
            <w:pPr>
              <w:spacing w:line="360" w:lineRule="auto"/>
              <w:rPr>
                <w:rFonts w:ascii="宋体" w:hAnsi="宋体"/>
                <w:szCs w:val="24"/>
              </w:rPr>
            </w:pPr>
            <w:r>
              <w:rPr>
                <w:rFonts w:ascii="宋体" w:hAnsi="宋体"/>
                <w:szCs w:val="24"/>
              </w:rPr>
              <w:t>8、具备云端检测和分析平台，通过采集医院现网防火墙等安全设备的安全告警和安全日志，结合大数据分析、人工智能等技术手段，为医院提供7*24小时持续不间断的安全威胁分析鉴定，同时在用户界面进行展示；</w:t>
            </w:r>
          </w:p>
          <w:p w14:paraId="42753834">
            <w:pPr>
              <w:spacing w:line="360" w:lineRule="auto"/>
              <w:rPr>
                <w:rFonts w:ascii="宋体" w:hAnsi="宋体"/>
                <w:szCs w:val="24"/>
              </w:rPr>
            </w:pPr>
            <w:r>
              <w:rPr>
                <w:rFonts w:ascii="宋体" w:hAnsi="宋体"/>
                <w:szCs w:val="24"/>
              </w:rPr>
              <w:t>9、为了保证安全监测的准确率和服务质量，支持为医院自定义配置安全规则，以满足日益复杂的安全趋势所带来的安全监测需求；</w:t>
            </w:r>
          </w:p>
          <w:p w14:paraId="25F9EC19">
            <w:pPr>
              <w:spacing w:line="360" w:lineRule="auto"/>
              <w:rPr>
                <w:rFonts w:ascii="宋体" w:hAnsi="宋体"/>
                <w:szCs w:val="24"/>
              </w:rPr>
            </w:pPr>
            <w:r>
              <w:rPr>
                <w:rFonts w:ascii="宋体" w:hAnsi="宋体"/>
                <w:szCs w:val="24"/>
              </w:rPr>
              <w:t>10、支持为发现每一个漏洞建立漏洞工单持续跟踪漏洞状态，支持从发现、验证、处置、复测到完成的漏洞全生命周期全过程进行管理，清晰直观地展示脆弱性的修复情况，遗留情况以及脆弱性对比情况，使得医院可做到漏洞的可视、可管、可控（提供平台具备脆弱性管理功能的截图）</w:t>
            </w:r>
          </w:p>
          <w:p w14:paraId="3EBAFB87">
            <w:pPr>
              <w:spacing w:line="360" w:lineRule="auto"/>
              <w:rPr>
                <w:rFonts w:ascii="宋体" w:hAnsi="宋体"/>
                <w:szCs w:val="24"/>
              </w:rPr>
            </w:pPr>
            <w:r>
              <w:rPr>
                <w:rFonts w:ascii="宋体" w:hAnsi="宋体"/>
                <w:szCs w:val="24"/>
              </w:rPr>
              <w:t>11、安全运营服务须与本次所投防火墙品类产品实现联动；通过统一安全流量分析研判，实现安全事件分析、溯源取证，线上专家持续守护。</w:t>
            </w:r>
          </w:p>
        </w:tc>
      </w:tr>
    </w:tbl>
    <w:p w14:paraId="287A62B7"/>
    <w:p w14:paraId="1B8BACBE">
      <w:pPr>
        <w:pStyle w:val="4"/>
        <w:numPr>
          <w:ilvl w:val="0"/>
          <w:numId w:val="0"/>
        </w:num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9、</w:t>
      </w:r>
      <w:r>
        <w:rPr>
          <w:rFonts w:ascii="宋体" w:hAnsi="宋体" w:eastAsia="宋体" w:cs="Times New Roman"/>
          <w:color w:val="auto"/>
          <w:sz w:val="24"/>
          <w:szCs w:val="24"/>
        </w:rPr>
        <w:tab/>
      </w:r>
      <w:r>
        <w:rPr>
          <w:rFonts w:ascii="宋体" w:hAnsi="宋体" w:eastAsia="宋体" w:cs="Times New Roman"/>
          <w:color w:val="auto"/>
          <w:sz w:val="24"/>
          <w:szCs w:val="24"/>
        </w:rPr>
        <w:t>数据库审计</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6910"/>
      </w:tblGrid>
      <w:tr w14:paraId="1903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497D29B5">
            <w:pPr>
              <w:widowControl/>
              <w:spacing w:line="360" w:lineRule="auto"/>
              <w:jc w:val="center"/>
              <w:rPr>
                <w:rFonts w:ascii="宋体" w:hAnsi="宋体"/>
                <w:b/>
                <w:szCs w:val="24"/>
              </w:rPr>
            </w:pPr>
            <w:r>
              <w:rPr>
                <w:rFonts w:hint="eastAsia" w:ascii="宋体" w:hAnsi="宋体"/>
                <w:b/>
                <w:szCs w:val="24"/>
              </w:rPr>
              <w:t>指标项</w:t>
            </w:r>
          </w:p>
        </w:tc>
        <w:tc>
          <w:tcPr>
            <w:tcW w:w="6727"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61B5DD9E">
            <w:pPr>
              <w:widowControl/>
              <w:spacing w:line="360" w:lineRule="auto"/>
              <w:jc w:val="center"/>
              <w:rPr>
                <w:rFonts w:ascii="宋体" w:hAnsi="宋体" w:cs="宋体"/>
                <w:b/>
                <w:kern w:val="0"/>
                <w:szCs w:val="24"/>
              </w:rPr>
            </w:pPr>
            <w:r>
              <w:rPr>
                <w:rFonts w:hint="eastAsia" w:ascii="宋体" w:hAnsi="宋体"/>
                <w:b/>
                <w:szCs w:val="24"/>
              </w:rPr>
              <w:t>指标要求</w:t>
            </w:r>
          </w:p>
        </w:tc>
      </w:tr>
      <w:tr w14:paraId="1B33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vAlign w:val="center"/>
          </w:tcPr>
          <w:p w14:paraId="44CB29A4">
            <w:pPr>
              <w:spacing w:line="360" w:lineRule="auto"/>
              <w:jc w:val="center"/>
              <w:rPr>
                <w:rFonts w:ascii="宋体" w:hAnsi="宋体"/>
                <w:b/>
                <w:bCs/>
                <w:szCs w:val="24"/>
              </w:rPr>
            </w:pPr>
            <w:r>
              <w:rPr>
                <w:rFonts w:hint="eastAsia" w:ascii="宋体" w:hAnsi="宋体"/>
                <w:b/>
                <w:bCs/>
                <w:szCs w:val="24"/>
              </w:rPr>
              <w:t>配置要求</w:t>
            </w:r>
          </w:p>
        </w:tc>
        <w:tc>
          <w:tcPr>
            <w:tcW w:w="6727" w:type="dxa"/>
            <w:tcBorders>
              <w:top w:val="single" w:color="auto" w:sz="4" w:space="0"/>
              <w:left w:val="single" w:color="auto" w:sz="4" w:space="0"/>
              <w:bottom w:val="single" w:color="auto" w:sz="4" w:space="0"/>
              <w:right w:val="single" w:color="auto" w:sz="4" w:space="0"/>
            </w:tcBorders>
            <w:vAlign w:val="center"/>
          </w:tcPr>
          <w:p w14:paraId="4C421067">
            <w:pPr>
              <w:spacing w:line="360" w:lineRule="auto"/>
              <w:rPr>
                <w:rFonts w:ascii="宋体" w:hAnsi="宋体"/>
                <w:szCs w:val="24"/>
              </w:rPr>
            </w:pPr>
            <w:r>
              <w:rPr>
                <w:rFonts w:ascii="宋体" w:hAnsi="宋体"/>
                <w:szCs w:val="24"/>
              </w:rPr>
              <w:t>1、★数据库流量≥600Mb/s，SQL处理性能≥30000条SQL/s，支持部署在虚拟化或超融合环境。</w:t>
            </w:r>
          </w:p>
          <w:p w14:paraId="1D7C1A75">
            <w:pPr>
              <w:spacing w:line="360" w:lineRule="auto"/>
              <w:rPr>
                <w:rFonts w:ascii="宋体" w:hAnsi="宋体"/>
                <w:szCs w:val="24"/>
              </w:rPr>
            </w:pPr>
            <w:r>
              <w:rPr>
                <w:rFonts w:ascii="宋体" w:hAnsi="宋体"/>
                <w:szCs w:val="24"/>
              </w:rPr>
              <w:t>2、支持自动发现镜像流量中的活跃数据库，可识别资产IP地址、端口和资产类型和发现资产的插件</w:t>
            </w:r>
          </w:p>
          <w:p w14:paraId="3D0FC894">
            <w:pPr>
              <w:spacing w:line="360" w:lineRule="auto"/>
              <w:rPr>
                <w:rFonts w:ascii="宋体" w:hAnsi="宋体"/>
                <w:szCs w:val="24"/>
              </w:rPr>
            </w:pPr>
            <w:r>
              <w:rPr>
                <w:rFonts w:ascii="宋体" w:hAnsi="宋体"/>
                <w:szCs w:val="24"/>
              </w:rPr>
              <w:t>3、支持HTTP访问审计，可指定GET、POST、URL、响应码进行精细审计</w:t>
            </w:r>
          </w:p>
          <w:p w14:paraId="218EB9F2">
            <w:pPr>
              <w:spacing w:line="360" w:lineRule="auto"/>
              <w:rPr>
                <w:rFonts w:ascii="宋体" w:hAnsi="宋体"/>
                <w:szCs w:val="24"/>
              </w:rPr>
            </w:pPr>
            <w:r>
              <w:rPr>
                <w:rFonts w:ascii="宋体" w:hAnsi="宋体"/>
                <w:szCs w:val="24"/>
              </w:rPr>
              <w:t>4、支持对返回结果集样例行数和大小进行限制，降低结果集存储资源占用。</w:t>
            </w:r>
          </w:p>
          <w:p w14:paraId="7B804D21">
            <w:pPr>
              <w:spacing w:line="360" w:lineRule="auto"/>
              <w:rPr>
                <w:rFonts w:ascii="宋体" w:hAnsi="宋体"/>
                <w:szCs w:val="24"/>
              </w:rPr>
            </w:pPr>
            <w:r>
              <w:rPr>
                <w:rFonts w:ascii="宋体" w:hAnsi="宋体"/>
                <w:szCs w:val="24"/>
              </w:rPr>
              <w:t>5、支持敏感数据扫描结果列表展示，可查看表内字段列表详情、匹配的敏感数据规则和样本预览</w:t>
            </w:r>
          </w:p>
          <w:p w14:paraId="041BF17D">
            <w:pPr>
              <w:spacing w:line="360" w:lineRule="auto"/>
              <w:rPr>
                <w:rFonts w:ascii="宋体" w:hAnsi="宋体"/>
                <w:szCs w:val="24"/>
              </w:rPr>
            </w:pPr>
            <w:r>
              <w:rPr>
                <w:rFonts w:ascii="宋体" w:hAnsi="宋体"/>
                <w:szCs w:val="24"/>
              </w:rPr>
              <w:t>6、支持自动将SQL语句分为login、logout、DDL、DML、DCL、privilege等操作类型</w:t>
            </w:r>
          </w:p>
          <w:p w14:paraId="3F0BFDAF">
            <w:pPr>
              <w:spacing w:line="360" w:lineRule="auto"/>
              <w:rPr>
                <w:rFonts w:ascii="宋体" w:hAnsi="宋体"/>
                <w:szCs w:val="24"/>
              </w:rPr>
            </w:pPr>
            <w:r>
              <w:rPr>
                <w:rFonts w:ascii="宋体" w:hAnsi="宋体"/>
                <w:szCs w:val="24"/>
              </w:rPr>
              <w:t>7、支持发现数据库所在的服务器的异常网络通讯行为，包含访问数据库服务器上的非数据库协议通讯审计全记录</w:t>
            </w:r>
          </w:p>
          <w:p w14:paraId="4A100208">
            <w:pPr>
              <w:spacing w:line="360" w:lineRule="auto"/>
              <w:rPr>
                <w:rFonts w:ascii="宋体" w:hAnsi="宋体"/>
                <w:szCs w:val="24"/>
              </w:rPr>
            </w:pPr>
            <w:r>
              <w:rPr>
                <w:rFonts w:ascii="宋体" w:hAnsi="宋体"/>
                <w:szCs w:val="24"/>
              </w:rPr>
              <w:t>8、支持发现数据库服务器主动外联通讯行为，外联审计结果全记录可追溯</w:t>
            </w:r>
          </w:p>
          <w:p w14:paraId="632AD67A">
            <w:pPr>
              <w:spacing w:line="360" w:lineRule="auto"/>
              <w:rPr>
                <w:rFonts w:ascii="宋体" w:hAnsi="宋体"/>
                <w:szCs w:val="24"/>
              </w:rPr>
            </w:pPr>
            <w:r>
              <w:rPr>
                <w:rFonts w:ascii="宋体" w:hAnsi="宋体"/>
                <w:szCs w:val="24"/>
              </w:rPr>
              <w:t>9、支持通过审计日志快速添加规则，包括自定义规则、白名单规则、黑名单规则和用户行为基线，审计日志内容将作为规则条件自动填充</w:t>
            </w:r>
          </w:p>
          <w:p w14:paraId="7D7303E6">
            <w:pPr>
              <w:spacing w:line="360" w:lineRule="auto"/>
              <w:rPr>
                <w:rFonts w:ascii="宋体" w:hAnsi="宋体"/>
                <w:szCs w:val="24"/>
              </w:rPr>
            </w:pPr>
            <w:r>
              <w:rPr>
                <w:rFonts w:ascii="宋体" w:hAnsi="宋体"/>
                <w:szCs w:val="24"/>
              </w:rPr>
              <w:t>10、支持SQL模板响应分析，对资产选定时间范围内SQL模板使用数、平均响应时长、平均响应行数进行排名和占比分析</w:t>
            </w:r>
          </w:p>
          <w:p w14:paraId="410941EF">
            <w:pPr>
              <w:spacing w:line="360" w:lineRule="auto"/>
              <w:rPr>
                <w:rFonts w:ascii="宋体" w:hAnsi="宋体"/>
                <w:szCs w:val="24"/>
              </w:rPr>
            </w:pPr>
            <w:r>
              <w:rPr>
                <w:rFonts w:ascii="宋体" w:hAnsi="宋体"/>
                <w:szCs w:val="24"/>
              </w:rPr>
              <w:t>11、支持记录用户操作日志，包含操作时间、操作用户、操作IP、操作对象、操作内容等</w:t>
            </w:r>
          </w:p>
        </w:tc>
      </w:tr>
    </w:tbl>
    <w:p w14:paraId="765D5181"/>
    <w:p w14:paraId="586EC7BE">
      <w:pPr>
        <w:pStyle w:val="4"/>
        <w:numPr>
          <w:ilvl w:val="0"/>
          <w:numId w:val="0"/>
        </w:num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10、内网安全管理系统</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6910"/>
      </w:tblGrid>
      <w:tr w14:paraId="134A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56DD502A">
            <w:pPr>
              <w:widowControl/>
              <w:spacing w:line="360" w:lineRule="auto"/>
              <w:jc w:val="center"/>
              <w:rPr>
                <w:rFonts w:ascii="宋体" w:hAnsi="宋体"/>
                <w:b/>
                <w:color w:val="auto"/>
                <w:szCs w:val="24"/>
                <w:highlight w:val="none"/>
              </w:rPr>
            </w:pPr>
            <w:r>
              <w:rPr>
                <w:rFonts w:hint="eastAsia" w:ascii="宋体" w:hAnsi="宋体"/>
                <w:b/>
                <w:color w:val="auto"/>
                <w:szCs w:val="24"/>
                <w:highlight w:val="none"/>
              </w:rPr>
              <w:t>指标项</w:t>
            </w:r>
          </w:p>
        </w:tc>
        <w:tc>
          <w:tcPr>
            <w:tcW w:w="6727"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035948CF">
            <w:pPr>
              <w:widowControl/>
              <w:spacing w:line="360" w:lineRule="auto"/>
              <w:jc w:val="center"/>
              <w:rPr>
                <w:rFonts w:ascii="宋体" w:hAnsi="宋体" w:cs="宋体"/>
                <w:b/>
                <w:color w:val="auto"/>
                <w:kern w:val="0"/>
                <w:szCs w:val="24"/>
                <w:highlight w:val="none"/>
              </w:rPr>
            </w:pPr>
            <w:r>
              <w:rPr>
                <w:rFonts w:hint="eastAsia" w:ascii="宋体" w:hAnsi="宋体"/>
                <w:b/>
                <w:color w:val="auto"/>
                <w:szCs w:val="24"/>
                <w:highlight w:val="none"/>
              </w:rPr>
              <w:t>指标要求</w:t>
            </w:r>
          </w:p>
        </w:tc>
      </w:tr>
      <w:tr w14:paraId="1762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vAlign w:val="center"/>
          </w:tcPr>
          <w:p w14:paraId="38107BBF">
            <w:pPr>
              <w:spacing w:line="360" w:lineRule="auto"/>
              <w:jc w:val="center"/>
              <w:rPr>
                <w:rFonts w:ascii="宋体" w:hAnsi="宋体"/>
                <w:b/>
                <w:bCs/>
                <w:color w:val="auto"/>
                <w:szCs w:val="24"/>
                <w:highlight w:val="none"/>
              </w:rPr>
            </w:pPr>
            <w:r>
              <w:rPr>
                <w:rFonts w:hint="eastAsia" w:ascii="宋体" w:hAnsi="宋体"/>
                <w:color w:val="auto"/>
                <w:highlight w:val="none"/>
              </w:rPr>
              <w:t>总体要求</w:t>
            </w:r>
          </w:p>
        </w:tc>
        <w:tc>
          <w:tcPr>
            <w:tcW w:w="6727" w:type="dxa"/>
            <w:vAlign w:val="center"/>
          </w:tcPr>
          <w:p w14:paraId="6B68326A">
            <w:pPr>
              <w:spacing w:line="360" w:lineRule="auto"/>
              <w:rPr>
                <w:rFonts w:ascii="宋体" w:hAnsi="宋体"/>
                <w:color w:val="auto"/>
                <w:szCs w:val="24"/>
                <w:highlight w:val="none"/>
              </w:rPr>
            </w:pPr>
            <w:r>
              <w:rPr>
                <w:rFonts w:hint="eastAsia" w:ascii="宋体" w:hAnsi="宋体"/>
                <w:color w:val="auto"/>
                <w:highlight w:val="none"/>
              </w:rPr>
              <w:t>要求工程师对现有内网安全管理系统进行升级加固，要求对院内1000台计算机终端进行统一管理</w:t>
            </w:r>
          </w:p>
        </w:tc>
      </w:tr>
      <w:tr w14:paraId="6B90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vAlign w:val="center"/>
          </w:tcPr>
          <w:p w14:paraId="74DB4C09">
            <w:pPr>
              <w:spacing w:line="360" w:lineRule="auto"/>
              <w:jc w:val="center"/>
              <w:rPr>
                <w:rFonts w:ascii="宋体" w:hAnsi="宋体"/>
                <w:b/>
                <w:bCs/>
                <w:color w:val="auto"/>
                <w:szCs w:val="24"/>
                <w:highlight w:val="none"/>
              </w:rPr>
            </w:pPr>
            <w:r>
              <w:rPr>
                <w:rFonts w:hint="eastAsia" w:ascii="宋体" w:hAnsi="宋体"/>
                <w:color w:val="auto"/>
                <w:highlight w:val="none"/>
              </w:rPr>
              <w:t>管理中心</w:t>
            </w:r>
          </w:p>
        </w:tc>
        <w:tc>
          <w:tcPr>
            <w:tcW w:w="6727" w:type="dxa"/>
            <w:vAlign w:val="center"/>
          </w:tcPr>
          <w:p w14:paraId="1FDCBBFF">
            <w:pPr>
              <w:snapToGrid w:val="0"/>
              <w:spacing w:line="360" w:lineRule="auto"/>
              <w:rPr>
                <w:rFonts w:ascii="宋体" w:hAnsi="宋体"/>
                <w:color w:val="auto"/>
                <w:highlight w:val="none"/>
              </w:rPr>
            </w:pPr>
            <w:r>
              <w:rPr>
                <w:rFonts w:hint="eastAsia" w:ascii="宋体" w:hAnsi="宋体"/>
                <w:color w:val="auto"/>
                <w:highlight w:val="none"/>
              </w:rPr>
              <w:t>管理中心（分级部署和多级集中管理要求）：</w:t>
            </w:r>
          </w:p>
          <w:p w14:paraId="7224D6B6">
            <w:pPr>
              <w:numPr>
                <w:ilvl w:val="0"/>
                <w:numId w:val="5"/>
              </w:numPr>
              <w:snapToGrid w:val="0"/>
              <w:spacing w:line="360" w:lineRule="auto"/>
              <w:rPr>
                <w:rFonts w:ascii="宋体" w:hAnsi="宋体"/>
                <w:color w:val="auto"/>
                <w:highlight w:val="none"/>
              </w:rPr>
            </w:pPr>
            <w:r>
              <w:rPr>
                <w:rFonts w:hint="eastAsia" w:ascii="宋体" w:hAnsi="宋体"/>
                <w:color w:val="auto"/>
                <w:highlight w:val="none"/>
              </w:rPr>
              <w:t>管理模式要求C/S+B/S架构,数据存储及传输要求seal算法、AES算法。管理构架上支持采用分级部署、分级管理和集中管理相结合的方式，管理模式为“下管一级”。</w:t>
            </w:r>
          </w:p>
          <w:p w14:paraId="0A4E0359">
            <w:pPr>
              <w:numPr>
                <w:ilvl w:val="0"/>
                <w:numId w:val="5"/>
              </w:numPr>
              <w:snapToGrid w:val="0"/>
              <w:spacing w:line="360" w:lineRule="auto"/>
              <w:rPr>
                <w:rFonts w:ascii="宋体" w:hAnsi="宋体"/>
                <w:color w:val="auto"/>
                <w:highlight w:val="none"/>
              </w:rPr>
            </w:pPr>
            <w:r>
              <w:rPr>
                <w:rFonts w:hint="eastAsia" w:cs="宋体"/>
                <w:color w:val="auto"/>
                <w:kern w:val="0"/>
                <w:szCs w:val="21"/>
                <w:highlight w:val="none"/>
              </w:rPr>
              <w:t>★</w:t>
            </w:r>
            <w:r>
              <w:rPr>
                <w:rFonts w:hint="eastAsia" w:ascii="宋体" w:hAnsi="宋体" w:cs="宋体"/>
                <w:color w:val="auto"/>
                <w:kern w:val="0"/>
                <w:szCs w:val="24"/>
                <w:highlight w:val="none"/>
              </w:rPr>
              <w:t>系统要求管理中心平台满足管理</w:t>
            </w:r>
            <w:r>
              <w:rPr>
                <w:rFonts w:hint="eastAsia" w:cs="宋体"/>
                <w:color w:val="auto"/>
                <w:kern w:val="0"/>
                <w:szCs w:val="21"/>
                <w:highlight w:val="none"/>
              </w:rPr>
              <w:t>1000台计算机终端客户端授权的管理能力，本次1年期400点授权与现有内网安全管理系统能够通过现有控制台进行统一管理，后期可以</w:t>
            </w:r>
            <w:r>
              <w:rPr>
                <w:rFonts w:hint="eastAsia" w:ascii="宋体" w:hAnsi="宋体" w:cs="宋体"/>
                <w:color w:val="auto"/>
                <w:kern w:val="0"/>
                <w:szCs w:val="24"/>
                <w:highlight w:val="none"/>
              </w:rPr>
              <w:t>实现与现内网安全管理系统实现级联管理。</w:t>
            </w:r>
          </w:p>
          <w:p w14:paraId="6DE3314A">
            <w:pPr>
              <w:numPr>
                <w:ilvl w:val="0"/>
                <w:numId w:val="5"/>
              </w:numPr>
              <w:snapToGrid w:val="0"/>
              <w:spacing w:line="360" w:lineRule="auto"/>
              <w:rPr>
                <w:rFonts w:ascii="宋体" w:hAnsi="宋体"/>
                <w:color w:val="auto"/>
                <w:highlight w:val="none"/>
              </w:rPr>
            </w:pPr>
            <w:r>
              <w:rPr>
                <w:rFonts w:hint="eastAsia" w:ascii="宋体" w:hAnsi="宋体"/>
                <w:color w:val="auto"/>
                <w:highlight w:val="none"/>
              </w:rPr>
              <w:t>部署简单，支持自动检测安装环境，可以对于不符合条件的环境给出安装建议，支持快速安装可以一键安装服务器所有组件。</w:t>
            </w:r>
          </w:p>
          <w:p w14:paraId="3FE6DA6B">
            <w:pPr>
              <w:numPr>
                <w:ilvl w:val="0"/>
                <w:numId w:val="5"/>
              </w:numPr>
              <w:snapToGrid w:val="0"/>
              <w:spacing w:line="360" w:lineRule="auto"/>
              <w:rPr>
                <w:rFonts w:ascii="宋体" w:hAnsi="宋体"/>
                <w:color w:val="auto"/>
                <w:highlight w:val="none"/>
              </w:rPr>
            </w:pPr>
            <w:r>
              <w:rPr>
                <w:rFonts w:ascii="宋体" w:hAnsi="宋体"/>
                <w:color w:val="auto"/>
                <w:highlight w:val="none"/>
              </w:rPr>
              <w:t>支持对服务器工作情况的监控</w:t>
            </w:r>
            <w:r>
              <w:rPr>
                <w:rFonts w:hint="eastAsia" w:ascii="宋体" w:hAnsi="宋体"/>
                <w:color w:val="auto"/>
                <w:highlight w:val="none"/>
              </w:rPr>
              <w:t>，</w:t>
            </w:r>
            <w:r>
              <w:rPr>
                <w:rFonts w:ascii="宋体" w:hAnsi="宋体"/>
                <w:color w:val="auto"/>
                <w:highlight w:val="none"/>
              </w:rPr>
              <w:t>如硬盘空间</w:t>
            </w:r>
            <w:r>
              <w:rPr>
                <w:rFonts w:hint="eastAsia" w:ascii="宋体" w:hAnsi="宋体"/>
                <w:color w:val="auto"/>
                <w:highlight w:val="none"/>
              </w:rPr>
              <w:t>、</w:t>
            </w:r>
            <w:r>
              <w:rPr>
                <w:rFonts w:ascii="宋体" w:hAnsi="宋体"/>
                <w:color w:val="auto"/>
                <w:highlight w:val="none"/>
              </w:rPr>
              <w:t>数据库占用空间等</w:t>
            </w:r>
          </w:p>
          <w:p w14:paraId="16562280">
            <w:pPr>
              <w:numPr>
                <w:ilvl w:val="0"/>
                <w:numId w:val="5"/>
              </w:numPr>
              <w:snapToGrid w:val="0"/>
              <w:spacing w:line="360" w:lineRule="auto"/>
              <w:rPr>
                <w:rFonts w:ascii="宋体" w:hAnsi="宋体"/>
                <w:color w:val="auto"/>
                <w:highlight w:val="none"/>
              </w:rPr>
            </w:pPr>
            <w:r>
              <w:rPr>
                <w:rFonts w:hint="eastAsia" w:ascii="宋体" w:hAnsi="宋体"/>
                <w:color w:val="auto"/>
                <w:highlight w:val="none"/>
              </w:rPr>
              <w:t>支持</w:t>
            </w:r>
            <w:r>
              <w:rPr>
                <w:rFonts w:ascii="宋体" w:hAnsi="宋体"/>
                <w:color w:val="auto"/>
                <w:highlight w:val="none"/>
              </w:rPr>
              <w:t>对数据库文件进行大小和时间监控</w:t>
            </w:r>
            <w:r>
              <w:rPr>
                <w:rFonts w:hint="eastAsia" w:ascii="宋体" w:hAnsi="宋体"/>
                <w:color w:val="auto"/>
                <w:highlight w:val="none"/>
              </w:rPr>
              <w:t>，</w:t>
            </w:r>
            <w:r>
              <w:rPr>
                <w:rFonts w:ascii="宋体" w:hAnsi="宋体"/>
                <w:color w:val="auto"/>
                <w:highlight w:val="none"/>
              </w:rPr>
              <w:t>实现文件转移和删除</w:t>
            </w:r>
          </w:p>
          <w:p w14:paraId="017643FF">
            <w:pPr>
              <w:numPr>
                <w:ilvl w:val="0"/>
                <w:numId w:val="5"/>
              </w:numPr>
              <w:snapToGrid w:val="0"/>
              <w:spacing w:line="360" w:lineRule="auto"/>
              <w:rPr>
                <w:rFonts w:ascii="宋体" w:hAnsi="宋体"/>
                <w:color w:val="auto"/>
                <w:highlight w:val="none"/>
              </w:rPr>
            </w:pPr>
            <w:r>
              <w:rPr>
                <w:rFonts w:hint="eastAsia" w:ascii="宋体" w:hAnsi="宋体"/>
                <w:color w:val="auto"/>
                <w:highlight w:val="none"/>
              </w:rPr>
              <w:t>服务器平台需要支持Windows 2008</w:t>
            </w:r>
            <w:r>
              <w:rPr>
                <w:rFonts w:ascii="宋体" w:hAnsi="宋体"/>
                <w:color w:val="auto"/>
                <w:highlight w:val="none"/>
              </w:rPr>
              <w:t>/2012</w:t>
            </w:r>
            <w:r>
              <w:rPr>
                <w:rFonts w:hint="eastAsia" w:ascii="宋体" w:hAnsi="宋体"/>
                <w:color w:val="auto"/>
                <w:highlight w:val="none"/>
              </w:rPr>
              <w:t>/2016/2019等 32位及64位平台上安装。</w:t>
            </w:r>
          </w:p>
          <w:p w14:paraId="311B49A8">
            <w:pPr>
              <w:numPr>
                <w:ilvl w:val="0"/>
                <w:numId w:val="5"/>
              </w:numPr>
              <w:snapToGrid w:val="0"/>
              <w:spacing w:line="360" w:lineRule="auto"/>
              <w:rPr>
                <w:rFonts w:ascii="宋体" w:hAnsi="宋体"/>
                <w:color w:val="auto"/>
                <w:highlight w:val="none"/>
              </w:rPr>
            </w:pPr>
            <w:r>
              <w:rPr>
                <w:rFonts w:hint="eastAsia" w:ascii="宋体" w:hAnsi="宋体"/>
                <w:color w:val="auto"/>
                <w:highlight w:val="none"/>
              </w:rPr>
              <w:t>要求支持的数据库SQL Server 2008</w:t>
            </w:r>
            <w:r>
              <w:rPr>
                <w:rFonts w:ascii="宋体" w:hAnsi="宋体"/>
                <w:color w:val="auto"/>
                <w:highlight w:val="none"/>
              </w:rPr>
              <w:t>/2012</w:t>
            </w:r>
            <w:r>
              <w:rPr>
                <w:rFonts w:hint="eastAsia" w:ascii="宋体" w:hAnsi="宋体"/>
                <w:color w:val="auto"/>
                <w:highlight w:val="none"/>
              </w:rPr>
              <w:t>/2016/2019等</w:t>
            </w:r>
          </w:p>
          <w:p w14:paraId="7EE57876">
            <w:pPr>
              <w:numPr>
                <w:ilvl w:val="0"/>
                <w:numId w:val="5"/>
              </w:numPr>
              <w:snapToGrid w:val="0"/>
              <w:spacing w:line="360" w:lineRule="auto"/>
              <w:rPr>
                <w:rFonts w:ascii="宋体" w:hAnsi="宋体"/>
                <w:color w:val="auto"/>
                <w:highlight w:val="none"/>
              </w:rPr>
            </w:pPr>
            <w:r>
              <w:rPr>
                <w:rFonts w:hint="eastAsia" w:ascii="宋体" w:hAnsi="宋体"/>
                <w:color w:val="auto"/>
                <w:highlight w:val="none"/>
              </w:rPr>
              <w:t>系统要求部属市局管理中心平台支持单台管理中心10000台计算机的管理要求(截图证明），具备服务器自我保护功能，可以防止IP占用、DDos攻击。要求终端支持所有WINDOWS操作系统。</w:t>
            </w:r>
          </w:p>
          <w:p w14:paraId="444B48AE">
            <w:pPr>
              <w:numPr>
                <w:ilvl w:val="0"/>
                <w:numId w:val="5"/>
              </w:numPr>
              <w:snapToGrid w:val="0"/>
              <w:spacing w:line="360" w:lineRule="auto"/>
              <w:rPr>
                <w:rFonts w:ascii="宋体" w:hAnsi="宋体"/>
                <w:color w:val="auto"/>
                <w:highlight w:val="none"/>
              </w:rPr>
            </w:pPr>
            <w:r>
              <w:rPr>
                <w:rFonts w:hint="eastAsia" w:ascii="宋体" w:hAnsi="宋体"/>
                <w:color w:val="auto"/>
                <w:highlight w:val="none"/>
              </w:rPr>
              <w:t>支持对NAT环境部署，在NAT环境下可以正常部署，接收策略和上报数据。</w:t>
            </w:r>
          </w:p>
          <w:p w14:paraId="17301C8C">
            <w:pPr>
              <w:numPr>
                <w:ilvl w:val="0"/>
                <w:numId w:val="5"/>
              </w:numPr>
              <w:snapToGrid w:val="0"/>
              <w:spacing w:line="360" w:lineRule="auto"/>
              <w:rPr>
                <w:rFonts w:ascii="宋体" w:hAnsi="宋体"/>
                <w:color w:val="auto"/>
                <w:highlight w:val="none"/>
              </w:rPr>
            </w:pPr>
            <w:r>
              <w:rPr>
                <w:rFonts w:hint="eastAsia" w:ascii="宋体" w:hAnsi="宋体"/>
                <w:color w:val="auto"/>
                <w:highlight w:val="none"/>
              </w:rPr>
              <w:t>安全策略制定功能，根据终端安全防护需要提供安全策略（全局策略、本地策略、备份策略）。</w:t>
            </w:r>
          </w:p>
          <w:p w14:paraId="2BC3D877">
            <w:pPr>
              <w:numPr>
                <w:ilvl w:val="0"/>
                <w:numId w:val="5"/>
              </w:numPr>
              <w:snapToGrid w:val="0"/>
              <w:spacing w:line="360" w:lineRule="auto"/>
              <w:rPr>
                <w:rFonts w:ascii="宋体" w:hAnsi="宋体"/>
                <w:color w:val="auto"/>
                <w:highlight w:val="none"/>
              </w:rPr>
            </w:pPr>
            <w:r>
              <w:rPr>
                <w:rFonts w:hint="eastAsia" w:ascii="宋体" w:hAnsi="宋体"/>
                <w:color w:val="auto"/>
                <w:highlight w:val="none"/>
              </w:rPr>
              <w:t>策略制订后，能够自动分发至网络中所有注册终端，根据策略类型决定如何执行。</w:t>
            </w:r>
          </w:p>
          <w:p w14:paraId="1C00F3AD">
            <w:pPr>
              <w:numPr>
                <w:ilvl w:val="0"/>
                <w:numId w:val="5"/>
              </w:numPr>
              <w:snapToGrid w:val="0"/>
              <w:spacing w:line="360" w:lineRule="auto"/>
              <w:rPr>
                <w:rFonts w:ascii="宋体" w:hAnsi="宋体"/>
                <w:color w:val="auto"/>
                <w:szCs w:val="24"/>
                <w:highlight w:val="none"/>
              </w:rPr>
            </w:pPr>
            <w:r>
              <w:rPr>
                <w:rFonts w:hint="eastAsia" w:ascii="宋体" w:hAnsi="宋体"/>
                <w:color w:val="auto"/>
                <w:highlight w:val="none"/>
              </w:rPr>
              <w:t>可以定义策略执行的网络环境，如在特定网络中策略有效或无效。</w:t>
            </w:r>
          </w:p>
        </w:tc>
      </w:tr>
      <w:tr w14:paraId="4D97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vAlign w:val="center"/>
          </w:tcPr>
          <w:p w14:paraId="41BDDE5B">
            <w:pPr>
              <w:spacing w:line="360" w:lineRule="auto"/>
              <w:jc w:val="center"/>
              <w:rPr>
                <w:rFonts w:ascii="宋体" w:hAnsi="宋体"/>
                <w:b/>
                <w:bCs/>
                <w:color w:val="auto"/>
                <w:szCs w:val="24"/>
                <w:highlight w:val="none"/>
              </w:rPr>
            </w:pPr>
            <w:r>
              <w:rPr>
                <w:rFonts w:hint="eastAsia" w:ascii="宋体" w:hAnsi="宋体"/>
                <w:color w:val="auto"/>
                <w:highlight w:val="none"/>
              </w:rPr>
              <w:t>基本功能管理</w:t>
            </w:r>
          </w:p>
        </w:tc>
        <w:tc>
          <w:tcPr>
            <w:tcW w:w="6727" w:type="dxa"/>
            <w:vAlign w:val="center"/>
          </w:tcPr>
          <w:p w14:paraId="5E01DA36">
            <w:pPr>
              <w:numPr>
                <w:ilvl w:val="0"/>
                <w:numId w:val="6"/>
              </w:numPr>
              <w:snapToGrid w:val="0"/>
              <w:spacing w:line="360" w:lineRule="auto"/>
              <w:rPr>
                <w:rFonts w:ascii="宋体" w:hAnsi="宋体"/>
                <w:color w:val="auto"/>
                <w:highlight w:val="none"/>
              </w:rPr>
            </w:pPr>
            <w:r>
              <w:rPr>
                <w:rFonts w:hint="eastAsia" w:ascii="宋体" w:hAnsi="宋体"/>
                <w:color w:val="auto"/>
                <w:highlight w:val="none"/>
              </w:rPr>
              <w:t>支持终端流量管理，对网络异常流量终端和异常连接数进行监控和控制，对可疑发包（蠕虫病毒等）行为、多并发连接提供检测、报警、断网功能；</w:t>
            </w:r>
          </w:p>
          <w:p w14:paraId="081D20B0">
            <w:pPr>
              <w:numPr>
                <w:ilvl w:val="0"/>
                <w:numId w:val="6"/>
              </w:numPr>
              <w:snapToGrid w:val="0"/>
              <w:spacing w:line="360" w:lineRule="auto"/>
              <w:rPr>
                <w:rFonts w:ascii="宋体" w:hAnsi="宋体"/>
                <w:color w:val="auto"/>
                <w:highlight w:val="none"/>
              </w:rPr>
            </w:pPr>
            <w:r>
              <w:rPr>
                <w:rFonts w:hint="eastAsia" w:ascii="宋体" w:hAnsi="宋体"/>
                <w:color w:val="auto"/>
                <w:highlight w:val="none"/>
              </w:rPr>
              <w:t>资产管理功能，能够自动获取软硬件资产信息，并对资产变更信息进行报警；</w:t>
            </w:r>
          </w:p>
          <w:p w14:paraId="607BB5F6">
            <w:pPr>
              <w:numPr>
                <w:ilvl w:val="0"/>
                <w:numId w:val="6"/>
              </w:numPr>
              <w:snapToGrid w:val="0"/>
              <w:spacing w:line="360" w:lineRule="auto"/>
              <w:rPr>
                <w:rFonts w:ascii="宋体" w:hAnsi="宋体"/>
                <w:color w:val="auto"/>
                <w:highlight w:val="none"/>
              </w:rPr>
            </w:pPr>
            <w:r>
              <w:rPr>
                <w:rFonts w:hint="eastAsia" w:ascii="宋体" w:hAnsi="宋体"/>
                <w:color w:val="auto"/>
                <w:highlight w:val="none"/>
              </w:rPr>
              <w:t>可由网管统一控制的桌面防火墙功能，实现协议、端口、IP访问控制功能；</w:t>
            </w:r>
          </w:p>
          <w:p w14:paraId="050076C9">
            <w:pPr>
              <w:numPr>
                <w:ilvl w:val="0"/>
                <w:numId w:val="6"/>
              </w:numPr>
              <w:snapToGrid w:val="0"/>
              <w:spacing w:line="360" w:lineRule="auto"/>
              <w:rPr>
                <w:rFonts w:ascii="宋体" w:hAnsi="宋体"/>
                <w:color w:val="auto"/>
                <w:highlight w:val="none"/>
              </w:rPr>
            </w:pPr>
            <w:r>
              <w:rPr>
                <w:rFonts w:hint="eastAsia" w:ascii="宋体" w:hAnsi="宋体"/>
                <w:color w:val="auto"/>
                <w:highlight w:val="none"/>
              </w:rPr>
              <w:t>控制外设接口的使用，启用或禁用软驱、光驱、U盘、USB接口、打印机、Model、串口、并口、1394接口、红外接口等，禁用手机存储功能，禁止手机连接计算机，同时禁用第三方插件连接方式；</w:t>
            </w:r>
          </w:p>
          <w:p w14:paraId="7DD9BD61">
            <w:pPr>
              <w:numPr>
                <w:ilvl w:val="0"/>
                <w:numId w:val="6"/>
              </w:numPr>
              <w:snapToGrid w:val="0"/>
              <w:spacing w:line="360" w:lineRule="auto"/>
              <w:rPr>
                <w:rFonts w:ascii="宋体" w:hAnsi="宋体"/>
                <w:color w:val="auto"/>
                <w:highlight w:val="none"/>
              </w:rPr>
            </w:pPr>
            <w:r>
              <w:rPr>
                <w:rFonts w:hint="eastAsia" w:ascii="宋体" w:hAnsi="宋体"/>
                <w:color w:val="auto"/>
                <w:highlight w:val="none"/>
              </w:rPr>
              <w:t>用户权限变化监控；</w:t>
            </w:r>
          </w:p>
          <w:p w14:paraId="25433391">
            <w:pPr>
              <w:numPr>
                <w:ilvl w:val="0"/>
                <w:numId w:val="6"/>
              </w:numPr>
              <w:snapToGrid w:val="0"/>
              <w:spacing w:line="360" w:lineRule="auto"/>
              <w:rPr>
                <w:rFonts w:ascii="宋体" w:hAnsi="宋体"/>
                <w:color w:val="auto"/>
                <w:highlight w:val="none"/>
              </w:rPr>
            </w:pPr>
            <w:r>
              <w:rPr>
                <w:rFonts w:hint="eastAsia" w:ascii="宋体" w:hAnsi="宋体"/>
                <w:color w:val="auto"/>
                <w:highlight w:val="none"/>
              </w:rPr>
              <w:t>支持IP与MAC绑定功能，禁止终端用户修改IP地址、网关等网络通讯关键参数的功能，如用户修改这些参数可自动由系统的客户端软件将这些参数修复；</w:t>
            </w:r>
          </w:p>
          <w:p w14:paraId="1E1E08EF">
            <w:pPr>
              <w:numPr>
                <w:ilvl w:val="0"/>
                <w:numId w:val="6"/>
              </w:numPr>
              <w:snapToGrid w:val="0"/>
              <w:spacing w:line="360" w:lineRule="auto"/>
              <w:rPr>
                <w:rFonts w:ascii="宋体" w:hAnsi="宋体"/>
                <w:color w:val="auto"/>
                <w:highlight w:val="none"/>
              </w:rPr>
            </w:pPr>
            <w:r>
              <w:rPr>
                <w:rFonts w:hint="eastAsia" w:ascii="宋体" w:hAnsi="宋体"/>
                <w:color w:val="auto"/>
                <w:highlight w:val="none"/>
              </w:rPr>
              <w:t>能够识别并控制经公安部许可的主流防病毒系统安装情况，并监控其运行。</w:t>
            </w:r>
          </w:p>
          <w:p w14:paraId="014988B4">
            <w:pPr>
              <w:numPr>
                <w:ilvl w:val="0"/>
                <w:numId w:val="6"/>
              </w:numPr>
              <w:snapToGrid w:val="0"/>
              <w:spacing w:line="360" w:lineRule="auto"/>
              <w:rPr>
                <w:rFonts w:ascii="宋体" w:hAnsi="宋体"/>
                <w:color w:val="auto"/>
                <w:highlight w:val="none"/>
              </w:rPr>
            </w:pPr>
            <w:r>
              <w:rPr>
                <w:rFonts w:hint="eastAsia" w:ascii="宋体" w:hAnsi="宋体"/>
                <w:color w:val="auto"/>
                <w:highlight w:val="none"/>
              </w:rPr>
              <w:t>终端文件备份，由终端向服务器备份指定目录下的指定文件,同时可进行身份认证；</w:t>
            </w:r>
          </w:p>
          <w:p w14:paraId="7D0E06A0">
            <w:pPr>
              <w:numPr>
                <w:ilvl w:val="0"/>
                <w:numId w:val="6"/>
              </w:numPr>
              <w:snapToGrid w:val="0"/>
              <w:spacing w:line="360" w:lineRule="auto"/>
              <w:rPr>
                <w:rFonts w:ascii="宋体" w:hAnsi="宋体"/>
                <w:color w:val="auto"/>
                <w:highlight w:val="none"/>
              </w:rPr>
            </w:pPr>
            <w:r>
              <w:rPr>
                <w:rFonts w:hint="eastAsia" w:ascii="宋体" w:hAnsi="宋体"/>
                <w:color w:val="auto"/>
                <w:highlight w:val="none"/>
              </w:rPr>
              <w:t>远程管理功能：即点对点获取远程终端在线进程、服务及所开放的端口之间关系，并远程控制。能对指定的远程终端进行网络数据包协议分析功能；</w:t>
            </w:r>
          </w:p>
          <w:p w14:paraId="1E2132E5">
            <w:pPr>
              <w:numPr>
                <w:ilvl w:val="0"/>
                <w:numId w:val="6"/>
              </w:numPr>
              <w:snapToGrid w:val="0"/>
              <w:spacing w:line="360" w:lineRule="auto"/>
              <w:rPr>
                <w:rFonts w:ascii="宋体" w:hAnsi="宋体"/>
                <w:color w:val="auto"/>
                <w:highlight w:val="none"/>
              </w:rPr>
            </w:pPr>
            <w:r>
              <w:rPr>
                <w:rFonts w:hint="eastAsia" w:ascii="宋体" w:hAnsi="宋体"/>
                <w:color w:val="auto"/>
                <w:highlight w:val="none"/>
              </w:rPr>
              <w:t>具备进程管理功能：支持对（指定公司名称、源文件名、产品名称、MD5探测）进程进行黑白名单的控制，黑名单内的进程自动被禁止，指定执行目录下的白名单内进程自动启动，主要支持除白名单中进程与系统进程外,不允许其他进程执行。</w:t>
            </w:r>
          </w:p>
          <w:p w14:paraId="7AAA497D">
            <w:pPr>
              <w:numPr>
                <w:ilvl w:val="0"/>
                <w:numId w:val="6"/>
              </w:numPr>
              <w:snapToGrid w:val="0"/>
              <w:spacing w:line="360" w:lineRule="auto"/>
              <w:rPr>
                <w:rFonts w:ascii="仿宋_GB2312" w:eastAsia="仿宋_GB2312"/>
                <w:bCs/>
                <w:color w:val="auto"/>
                <w:highlight w:val="none"/>
              </w:rPr>
            </w:pPr>
            <w:r>
              <w:rPr>
                <w:rFonts w:hint="eastAsia" w:ascii="宋体" w:hAnsi="宋体"/>
                <w:color w:val="auto"/>
                <w:highlight w:val="none"/>
              </w:rPr>
              <w:t>具备文件、目录分发功能，且管理员自定义分发成功的判断条件，具体包括对注册表是否写入及文件是否更新等条件进行判断。</w:t>
            </w:r>
          </w:p>
          <w:p w14:paraId="2C081842">
            <w:pPr>
              <w:numPr>
                <w:ilvl w:val="0"/>
                <w:numId w:val="6"/>
              </w:numPr>
              <w:snapToGrid w:val="0"/>
              <w:spacing w:line="360" w:lineRule="auto"/>
              <w:rPr>
                <w:rFonts w:ascii="宋体" w:hAnsi="宋体"/>
                <w:color w:val="auto"/>
                <w:szCs w:val="24"/>
                <w:highlight w:val="none"/>
              </w:rPr>
            </w:pPr>
            <w:r>
              <w:rPr>
                <w:rFonts w:hint="eastAsia" w:ascii="宋体" w:hAnsi="宋体"/>
                <w:color w:val="auto"/>
                <w:highlight w:val="none"/>
              </w:rPr>
              <w:t>支持软件分发支持断点续传机制，下载失败后，根据指定时间自定再次下载。</w:t>
            </w:r>
          </w:p>
        </w:tc>
      </w:tr>
      <w:tr w14:paraId="7A87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vAlign w:val="center"/>
          </w:tcPr>
          <w:p w14:paraId="49A1A36A">
            <w:pPr>
              <w:spacing w:line="360" w:lineRule="auto"/>
              <w:jc w:val="center"/>
              <w:rPr>
                <w:rFonts w:ascii="宋体" w:hAnsi="宋体"/>
                <w:b/>
                <w:bCs/>
                <w:color w:val="auto"/>
                <w:szCs w:val="24"/>
                <w:highlight w:val="none"/>
              </w:rPr>
            </w:pPr>
            <w:r>
              <w:rPr>
                <w:rFonts w:hint="eastAsia" w:ascii="宋体" w:hAnsi="宋体"/>
                <w:color w:val="auto"/>
                <w:highlight w:val="none"/>
              </w:rPr>
              <w:t>移动存储审计</w:t>
            </w:r>
          </w:p>
        </w:tc>
        <w:tc>
          <w:tcPr>
            <w:tcW w:w="6727" w:type="dxa"/>
            <w:vAlign w:val="center"/>
          </w:tcPr>
          <w:p w14:paraId="479EE59B">
            <w:pPr>
              <w:numPr>
                <w:ilvl w:val="0"/>
                <w:numId w:val="7"/>
              </w:numPr>
              <w:snapToGrid w:val="0"/>
              <w:spacing w:line="360" w:lineRule="auto"/>
              <w:rPr>
                <w:rFonts w:ascii="宋体" w:hAnsi="宋体"/>
                <w:color w:val="auto"/>
                <w:highlight w:val="none"/>
              </w:rPr>
            </w:pPr>
            <w:r>
              <w:rPr>
                <w:rFonts w:hint="eastAsia" w:ascii="宋体" w:hAnsi="宋体"/>
                <w:color w:val="auto"/>
                <w:highlight w:val="none"/>
              </w:rPr>
              <w:t>通过标签和策略相结合对移动设备接入进行管理，实时发现并管理接入网络中的移动存储设备（如U盘、移动硬盘等）；</w:t>
            </w:r>
          </w:p>
          <w:p w14:paraId="35DB4346">
            <w:pPr>
              <w:numPr>
                <w:ilvl w:val="0"/>
                <w:numId w:val="7"/>
              </w:numPr>
              <w:snapToGrid w:val="0"/>
              <w:spacing w:line="360" w:lineRule="auto"/>
              <w:rPr>
                <w:rFonts w:ascii="宋体" w:hAnsi="宋体"/>
                <w:color w:val="auto"/>
                <w:highlight w:val="none"/>
              </w:rPr>
            </w:pPr>
            <w:r>
              <w:rPr>
                <w:rFonts w:hint="eastAsia" w:ascii="宋体" w:hAnsi="宋体"/>
                <w:color w:val="auto"/>
                <w:highlight w:val="none"/>
              </w:rPr>
              <w:t>移动存储设备在格式化和重新分区时标签不可被擦除；</w:t>
            </w:r>
          </w:p>
          <w:p w14:paraId="37B0B7B6">
            <w:pPr>
              <w:numPr>
                <w:ilvl w:val="0"/>
                <w:numId w:val="7"/>
              </w:numPr>
              <w:snapToGrid w:val="0"/>
              <w:spacing w:line="360" w:lineRule="auto"/>
              <w:rPr>
                <w:rFonts w:ascii="宋体" w:hAnsi="宋体"/>
                <w:color w:val="auto"/>
                <w:highlight w:val="none"/>
              </w:rPr>
            </w:pPr>
            <w:r>
              <w:rPr>
                <w:rFonts w:hint="eastAsia" w:ascii="宋体" w:hAnsi="宋体"/>
                <w:color w:val="auto"/>
                <w:highlight w:val="none"/>
              </w:rPr>
              <w:t>可以通过标签方式和策略相结合的方式，对移动存储的使用权限进行控制（禁止使用、只读使用、读写使用）；</w:t>
            </w:r>
          </w:p>
          <w:p w14:paraId="11848E72">
            <w:pPr>
              <w:numPr>
                <w:ilvl w:val="0"/>
                <w:numId w:val="7"/>
              </w:numPr>
              <w:snapToGrid w:val="0"/>
              <w:spacing w:line="360" w:lineRule="auto"/>
              <w:rPr>
                <w:rFonts w:ascii="宋体" w:hAnsi="宋体"/>
                <w:color w:val="auto"/>
                <w:highlight w:val="none"/>
              </w:rPr>
            </w:pPr>
            <w:r>
              <w:rPr>
                <w:rFonts w:hint="eastAsia" w:ascii="宋体" w:hAnsi="宋体"/>
                <w:color w:val="auto"/>
                <w:highlight w:val="none"/>
              </w:rPr>
              <w:t>对U盘标签进行分部门管理，打过标签的移动存储设备只能在策略指定的范围内使用，可与医院认证U盘进行交叉识别、认证方便信息传递；</w:t>
            </w:r>
          </w:p>
          <w:p w14:paraId="25597046">
            <w:pPr>
              <w:numPr>
                <w:ilvl w:val="0"/>
                <w:numId w:val="7"/>
              </w:numPr>
              <w:snapToGrid w:val="0"/>
              <w:spacing w:line="360" w:lineRule="auto"/>
              <w:rPr>
                <w:rFonts w:ascii="宋体" w:hAnsi="宋体"/>
                <w:color w:val="auto"/>
                <w:highlight w:val="none"/>
              </w:rPr>
            </w:pPr>
            <w:r>
              <w:rPr>
                <w:rFonts w:hint="eastAsia" w:ascii="宋体" w:hAnsi="宋体"/>
                <w:color w:val="auto"/>
                <w:highlight w:val="none"/>
              </w:rPr>
              <w:t>可以将通用移动存储设备分为交换区和加密区，并可以分别设置不同的密码。以提高信息的安全性。离网之后，加密区不可见，防止保密区敏感信息泄露。</w:t>
            </w:r>
          </w:p>
          <w:p w14:paraId="7335047E">
            <w:pPr>
              <w:numPr>
                <w:ilvl w:val="0"/>
                <w:numId w:val="7"/>
              </w:numPr>
              <w:snapToGrid w:val="0"/>
              <w:spacing w:line="360" w:lineRule="auto"/>
              <w:rPr>
                <w:rFonts w:ascii="宋体" w:hAnsi="宋体"/>
                <w:color w:val="auto"/>
                <w:highlight w:val="none"/>
              </w:rPr>
            </w:pPr>
            <w:r>
              <w:rPr>
                <w:rFonts w:hint="eastAsia" w:ascii="宋体" w:hAnsi="宋体"/>
                <w:color w:val="auto"/>
                <w:highlight w:val="none"/>
              </w:rPr>
              <w:t>具备移动存储介质接入行为审计，提供详细的文件操作审计记录（文件的创建、复制、删除、修改、和重命名等操作），提供详细的移动存储设备的插入和拔出动作的详细记录。</w:t>
            </w:r>
          </w:p>
          <w:p w14:paraId="5906F239">
            <w:pPr>
              <w:numPr>
                <w:ilvl w:val="0"/>
                <w:numId w:val="7"/>
              </w:numPr>
              <w:snapToGrid w:val="0"/>
              <w:spacing w:line="360" w:lineRule="auto"/>
              <w:rPr>
                <w:rFonts w:ascii="宋体" w:hAnsi="宋体"/>
                <w:color w:val="auto"/>
                <w:szCs w:val="24"/>
                <w:highlight w:val="none"/>
              </w:rPr>
            </w:pPr>
            <w:r>
              <w:rPr>
                <w:rFonts w:hint="eastAsia" w:ascii="宋体" w:hAnsi="宋体"/>
                <w:color w:val="auto"/>
                <w:highlight w:val="none"/>
              </w:rPr>
              <w:t>支持AES(256bit)高强度对称加密算法的安全办公U盘，具备外带安全办公功能，运行办公系统自动断开网络连接，防止在办公过程中的文件的外泄，包括复制、剪切、另存、打印、截屏，邮件输出和网络共享，本U盘内编辑的临时文件在外部计算机无留存，可以防止病毒在U盘的使用期间自动从主机传播到安全U盘中，可以支持U盘芯片对外部计算上使用的行为审计(可提供U盘演示)。</w:t>
            </w:r>
          </w:p>
        </w:tc>
      </w:tr>
      <w:tr w14:paraId="2722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vAlign w:val="center"/>
          </w:tcPr>
          <w:p w14:paraId="34391E65">
            <w:pPr>
              <w:spacing w:line="360" w:lineRule="auto"/>
              <w:jc w:val="center"/>
              <w:rPr>
                <w:rFonts w:ascii="宋体" w:hAnsi="宋体"/>
                <w:b/>
                <w:bCs/>
                <w:color w:val="auto"/>
                <w:szCs w:val="24"/>
                <w:highlight w:val="none"/>
              </w:rPr>
            </w:pPr>
            <w:r>
              <w:rPr>
                <w:rFonts w:hint="eastAsia" w:ascii="宋体" w:hAnsi="宋体"/>
                <w:color w:val="auto"/>
                <w:highlight w:val="none"/>
              </w:rPr>
              <w:t>资产管理</w:t>
            </w:r>
          </w:p>
        </w:tc>
        <w:tc>
          <w:tcPr>
            <w:tcW w:w="6727" w:type="dxa"/>
            <w:vAlign w:val="center"/>
          </w:tcPr>
          <w:p w14:paraId="43BE9051">
            <w:pPr>
              <w:numPr>
                <w:ilvl w:val="0"/>
                <w:numId w:val="8"/>
              </w:numPr>
              <w:snapToGrid w:val="0"/>
              <w:spacing w:line="360" w:lineRule="auto"/>
              <w:rPr>
                <w:rFonts w:ascii="宋体" w:hAnsi="宋体"/>
                <w:color w:val="auto"/>
                <w:highlight w:val="none"/>
              </w:rPr>
            </w:pPr>
            <w:r>
              <w:rPr>
                <w:rFonts w:hint="eastAsia" w:ascii="宋体" w:hAnsi="宋体"/>
                <w:color w:val="auto"/>
                <w:highlight w:val="none"/>
              </w:rPr>
              <w:t>系统要求支持管理网络终端软硬件资产：采集客户端的硬件设备信息（诸如硬盘、CPU、内存等）、位置信息（设备名称、使用人、联系电话、房间号等），注册后存储到数据库中;可自动发现客户端安装的软件，将所有相关数据入库管理；支持在管理中心对注册客户端进行联机卸载。</w:t>
            </w:r>
          </w:p>
          <w:p w14:paraId="00B34A46">
            <w:pPr>
              <w:numPr>
                <w:ilvl w:val="0"/>
                <w:numId w:val="8"/>
              </w:numPr>
              <w:snapToGrid w:val="0"/>
              <w:spacing w:line="360" w:lineRule="auto"/>
              <w:rPr>
                <w:rFonts w:ascii="宋体" w:hAnsi="宋体"/>
                <w:color w:val="auto"/>
                <w:highlight w:val="none"/>
              </w:rPr>
            </w:pPr>
            <w:r>
              <w:rPr>
                <w:rFonts w:hint="eastAsia" w:ascii="宋体" w:hAnsi="宋体"/>
                <w:color w:val="auto"/>
                <w:highlight w:val="none"/>
              </w:rPr>
              <w:t>系统要求支持设备资产信息变化报警，报警未注册设备、注册程序卸载行为，实时检测硬件设备变化情况（如设备硬件变化、网络地址更改、USB设备接入等）。</w:t>
            </w:r>
          </w:p>
          <w:p w14:paraId="7935008B">
            <w:pPr>
              <w:numPr>
                <w:ilvl w:val="0"/>
                <w:numId w:val="8"/>
              </w:numPr>
              <w:snapToGrid w:val="0"/>
              <w:spacing w:line="360" w:lineRule="auto"/>
              <w:rPr>
                <w:rFonts w:ascii="宋体" w:hAnsi="宋体"/>
                <w:color w:val="auto"/>
                <w:highlight w:val="none"/>
              </w:rPr>
            </w:pPr>
            <w:r>
              <w:rPr>
                <w:rFonts w:hint="eastAsia" w:ascii="宋体" w:hAnsi="宋体"/>
                <w:color w:val="auto"/>
                <w:highlight w:val="none"/>
              </w:rPr>
              <w:t>必须支持对终端计算机软件安装信息的收集，包括当前软件安装信息和历史安装信息。</w:t>
            </w:r>
          </w:p>
          <w:p w14:paraId="0162DFA5">
            <w:pPr>
              <w:numPr>
                <w:ilvl w:val="0"/>
                <w:numId w:val="8"/>
              </w:numPr>
              <w:snapToGrid w:val="0"/>
              <w:spacing w:line="360" w:lineRule="auto"/>
              <w:rPr>
                <w:rFonts w:ascii="宋体" w:hAnsi="宋体"/>
                <w:color w:val="auto"/>
                <w:highlight w:val="none"/>
              </w:rPr>
            </w:pPr>
            <w:r>
              <w:rPr>
                <w:rFonts w:hint="eastAsia" w:ascii="宋体" w:hAnsi="宋体"/>
                <w:color w:val="auto"/>
                <w:highlight w:val="none"/>
              </w:rPr>
              <w:t>支持对终端计算机节能管理，实现计算机定时开机、关机，可以实现对计算机电源、屏幕保护进行节能设置，并汇总分析，形程耗电量统计。</w:t>
            </w:r>
          </w:p>
          <w:p w14:paraId="492A616E">
            <w:pPr>
              <w:numPr>
                <w:ilvl w:val="0"/>
                <w:numId w:val="8"/>
              </w:numPr>
              <w:snapToGrid w:val="0"/>
              <w:spacing w:line="360" w:lineRule="auto"/>
              <w:rPr>
                <w:rFonts w:ascii="宋体" w:hAnsi="宋体"/>
                <w:color w:val="auto"/>
                <w:highlight w:val="none"/>
              </w:rPr>
            </w:pPr>
            <w:r>
              <w:rPr>
                <w:rFonts w:hint="eastAsia" w:ascii="宋体" w:hAnsi="宋体"/>
                <w:color w:val="auto"/>
                <w:highlight w:val="none"/>
              </w:rPr>
              <w:t>支持对正版MS操作系统的识别能力和MS OFFICE正版识别能力</w:t>
            </w:r>
          </w:p>
          <w:p w14:paraId="79E8A468">
            <w:pPr>
              <w:numPr>
                <w:ilvl w:val="0"/>
                <w:numId w:val="8"/>
              </w:numPr>
              <w:snapToGrid w:val="0"/>
              <w:spacing w:line="360" w:lineRule="auto"/>
              <w:rPr>
                <w:rFonts w:ascii="宋体" w:hAnsi="宋体"/>
                <w:color w:val="auto"/>
                <w:highlight w:val="none"/>
              </w:rPr>
            </w:pPr>
            <w:r>
              <w:rPr>
                <w:rFonts w:hint="eastAsia" w:ascii="宋体" w:hAnsi="宋体"/>
                <w:color w:val="auto"/>
                <w:highlight w:val="none"/>
              </w:rPr>
              <w:t>支持对桌面防病毒软件管理功能,进行辅助管理,包括杀毒、调取等功能。</w:t>
            </w:r>
          </w:p>
          <w:p w14:paraId="0E4FD173">
            <w:pPr>
              <w:numPr>
                <w:ilvl w:val="0"/>
                <w:numId w:val="8"/>
              </w:numPr>
              <w:snapToGrid w:val="0"/>
              <w:spacing w:line="360" w:lineRule="auto"/>
              <w:rPr>
                <w:rFonts w:ascii="宋体" w:hAnsi="宋体"/>
                <w:color w:val="auto"/>
                <w:szCs w:val="24"/>
                <w:highlight w:val="none"/>
              </w:rPr>
            </w:pPr>
            <w:r>
              <w:rPr>
                <w:rFonts w:hint="eastAsia" w:ascii="宋体" w:hAnsi="宋体"/>
                <w:color w:val="auto"/>
                <w:highlight w:val="none"/>
              </w:rPr>
              <w:t>具备管理员呼叫帮助平台，终端用户可以主动请求管理员提供远程帮助。</w:t>
            </w:r>
          </w:p>
        </w:tc>
      </w:tr>
      <w:tr w14:paraId="7FE7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vAlign w:val="center"/>
          </w:tcPr>
          <w:p w14:paraId="293F35B6">
            <w:pPr>
              <w:spacing w:line="360" w:lineRule="auto"/>
              <w:jc w:val="center"/>
              <w:rPr>
                <w:rFonts w:ascii="宋体" w:hAnsi="宋体"/>
                <w:b/>
                <w:bCs/>
                <w:color w:val="auto"/>
                <w:szCs w:val="24"/>
                <w:highlight w:val="none"/>
              </w:rPr>
            </w:pPr>
            <w:r>
              <w:rPr>
                <w:rFonts w:hint="eastAsia" w:ascii="宋体" w:hAnsi="宋体"/>
                <w:color w:val="auto"/>
                <w:highlight w:val="none"/>
              </w:rPr>
              <w:t>违规外联监测</w:t>
            </w:r>
          </w:p>
        </w:tc>
        <w:tc>
          <w:tcPr>
            <w:tcW w:w="6727" w:type="dxa"/>
            <w:vAlign w:val="center"/>
          </w:tcPr>
          <w:p w14:paraId="7487EA57">
            <w:pPr>
              <w:numPr>
                <w:ilvl w:val="0"/>
                <w:numId w:val="9"/>
              </w:numPr>
              <w:snapToGrid w:val="0"/>
              <w:spacing w:line="360" w:lineRule="auto"/>
              <w:rPr>
                <w:rFonts w:ascii="宋体" w:hAnsi="宋体"/>
                <w:color w:val="auto"/>
                <w:highlight w:val="none"/>
              </w:rPr>
            </w:pPr>
            <w:r>
              <w:rPr>
                <w:rFonts w:hint="eastAsia" w:ascii="宋体" w:hAnsi="宋体"/>
                <w:color w:val="auto"/>
                <w:highlight w:val="none"/>
              </w:rPr>
              <w:t>要求支持监控网络中客户端的非法外联行为，实时检测内部网络（包括物理隔离和逻辑隔离网络）用户通过调制解调器、ADSL、双网卡等设备非法外联互联网行为，并远程告警或断网。</w:t>
            </w:r>
          </w:p>
          <w:p w14:paraId="1D35F974">
            <w:pPr>
              <w:numPr>
                <w:ilvl w:val="0"/>
                <w:numId w:val="9"/>
              </w:numPr>
              <w:snapToGrid w:val="0"/>
              <w:spacing w:line="360" w:lineRule="auto"/>
              <w:rPr>
                <w:rFonts w:ascii="宋体" w:hAnsi="宋体"/>
                <w:color w:val="auto"/>
                <w:highlight w:val="none"/>
              </w:rPr>
            </w:pPr>
            <w:r>
              <w:rPr>
                <w:rFonts w:hint="eastAsia" w:ascii="宋体" w:hAnsi="宋体"/>
                <w:color w:val="auto"/>
                <w:highlight w:val="none"/>
              </w:rPr>
              <w:t>支持监控已注册的设备网络连接行为，如改变网络地址接入其它网络，根据接入网络环境因素判定其是否非法接入其它网络。</w:t>
            </w:r>
          </w:p>
          <w:p w14:paraId="3AAF95B5">
            <w:pPr>
              <w:numPr>
                <w:ilvl w:val="0"/>
                <w:numId w:val="9"/>
              </w:numPr>
              <w:snapToGrid w:val="0"/>
              <w:spacing w:line="360" w:lineRule="auto"/>
              <w:rPr>
                <w:rFonts w:ascii="宋体" w:hAnsi="宋体"/>
                <w:color w:val="auto"/>
                <w:highlight w:val="none"/>
              </w:rPr>
            </w:pPr>
            <w:r>
              <w:rPr>
                <w:rFonts w:hint="eastAsia" w:ascii="宋体" w:hAnsi="宋体"/>
                <w:color w:val="auto"/>
                <w:highlight w:val="none"/>
              </w:rPr>
              <w:t>客户端非法外联支持详细记录非法上网计算机的名称、单位、上网方式,可以在报警平台和报警查询中获知信息，并且可以对客户端进行提示信息，自动关机，断网等处理。</w:t>
            </w:r>
          </w:p>
          <w:p w14:paraId="7D0F0DED">
            <w:pPr>
              <w:numPr>
                <w:ilvl w:val="0"/>
                <w:numId w:val="9"/>
              </w:numPr>
              <w:snapToGrid w:val="0"/>
              <w:spacing w:line="360" w:lineRule="auto"/>
              <w:rPr>
                <w:rFonts w:ascii="宋体" w:hAnsi="宋体"/>
                <w:color w:val="auto"/>
                <w:highlight w:val="none"/>
              </w:rPr>
            </w:pPr>
            <w:r>
              <w:rPr>
                <w:rFonts w:hint="eastAsia" w:ascii="宋体" w:hAnsi="宋体"/>
                <w:color w:val="auto"/>
                <w:highlight w:val="none"/>
              </w:rPr>
              <w:t>必须支持是否允许使用代理服务器上网的控制。</w:t>
            </w:r>
          </w:p>
          <w:p w14:paraId="78FC3E1D">
            <w:pPr>
              <w:numPr>
                <w:ilvl w:val="0"/>
                <w:numId w:val="9"/>
              </w:numPr>
              <w:snapToGrid w:val="0"/>
              <w:spacing w:line="360" w:lineRule="auto"/>
              <w:rPr>
                <w:rFonts w:ascii="宋体" w:hAnsi="宋体"/>
                <w:color w:val="auto"/>
                <w:szCs w:val="24"/>
                <w:highlight w:val="none"/>
              </w:rPr>
            </w:pPr>
            <w:r>
              <w:rPr>
                <w:rFonts w:hint="eastAsia" w:ascii="宋体" w:hAnsi="宋体"/>
                <w:color w:val="auto"/>
                <w:highlight w:val="none"/>
              </w:rPr>
              <w:t>支持在互联网服务器搭建非法外联监控中心,实现在外网触发非法外联行为时,非法外联主机对互联网服务器进行违规信息上报。</w:t>
            </w:r>
          </w:p>
        </w:tc>
      </w:tr>
      <w:tr w14:paraId="66A4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vAlign w:val="center"/>
          </w:tcPr>
          <w:p w14:paraId="79763727">
            <w:pPr>
              <w:spacing w:line="360" w:lineRule="auto"/>
              <w:jc w:val="center"/>
              <w:rPr>
                <w:rFonts w:ascii="宋体" w:hAnsi="宋体"/>
                <w:b/>
                <w:bCs/>
                <w:color w:val="auto"/>
                <w:szCs w:val="24"/>
                <w:highlight w:val="none"/>
              </w:rPr>
            </w:pPr>
            <w:r>
              <w:rPr>
                <w:rFonts w:hint="eastAsia" w:ascii="宋体" w:hAnsi="宋体"/>
                <w:color w:val="auto"/>
                <w:highlight w:val="none"/>
              </w:rPr>
              <w:t>补丁分发管理</w:t>
            </w:r>
          </w:p>
        </w:tc>
        <w:tc>
          <w:tcPr>
            <w:tcW w:w="6727" w:type="dxa"/>
            <w:vAlign w:val="center"/>
          </w:tcPr>
          <w:p w14:paraId="4DCA1F1B">
            <w:pPr>
              <w:numPr>
                <w:ilvl w:val="0"/>
                <w:numId w:val="10"/>
              </w:numPr>
              <w:snapToGrid w:val="0"/>
              <w:spacing w:line="360" w:lineRule="auto"/>
              <w:rPr>
                <w:rFonts w:ascii="宋体" w:hAnsi="宋体"/>
                <w:color w:val="auto"/>
                <w:highlight w:val="none"/>
              </w:rPr>
            </w:pPr>
            <w:r>
              <w:rPr>
                <w:rFonts w:hint="eastAsia" w:ascii="宋体" w:hAnsi="宋体"/>
                <w:color w:val="auto"/>
                <w:highlight w:val="none"/>
              </w:rPr>
              <w:t>支持非微软WSUS的补丁分发机制，对多平台系统进行补丁检测与审计，对漏打补丁的终端系统能够生成漏打补丁列表，并可以针对漏打补丁列表进行对应的补丁分发。</w:t>
            </w:r>
          </w:p>
          <w:p w14:paraId="5E1836CF">
            <w:pPr>
              <w:numPr>
                <w:ilvl w:val="0"/>
                <w:numId w:val="10"/>
              </w:numPr>
              <w:snapToGrid w:val="0"/>
              <w:spacing w:line="360" w:lineRule="auto"/>
              <w:rPr>
                <w:rFonts w:ascii="宋体" w:hAnsi="宋体"/>
                <w:color w:val="auto"/>
                <w:highlight w:val="none"/>
              </w:rPr>
            </w:pPr>
            <w:r>
              <w:rPr>
                <w:rFonts w:hint="eastAsia" w:ascii="宋体" w:hAnsi="宋体"/>
                <w:color w:val="auto"/>
                <w:highlight w:val="none"/>
              </w:rPr>
              <w:t>支持使用增量式补丁自动分离技术，在外网分离出已安装、未安装补丁，分类导入，即仅对内网的补丁进行“增量式”的升级，减少拷贝工作量。</w:t>
            </w:r>
          </w:p>
          <w:p w14:paraId="61FB8188">
            <w:pPr>
              <w:numPr>
                <w:ilvl w:val="0"/>
                <w:numId w:val="10"/>
              </w:numPr>
              <w:snapToGrid w:val="0"/>
              <w:spacing w:line="360" w:lineRule="auto"/>
              <w:rPr>
                <w:rFonts w:ascii="宋体" w:hAnsi="宋体"/>
                <w:color w:val="auto"/>
                <w:highlight w:val="none"/>
              </w:rPr>
            </w:pPr>
            <w:r>
              <w:rPr>
                <w:rFonts w:hint="eastAsia" w:ascii="宋体" w:hAnsi="宋体"/>
                <w:color w:val="auto"/>
                <w:highlight w:val="none"/>
              </w:rPr>
              <w:t>支持自动建立补丁库，支持补丁库信息查询。针对下载的补丁进行归类存放，按照不同操作系统、补丁编号、补丁发布时间、补丁风险等级、补丁公告等进行归类，帮助管理人员快速识别补丁。</w:t>
            </w:r>
          </w:p>
          <w:p w14:paraId="08A5328C">
            <w:pPr>
              <w:numPr>
                <w:ilvl w:val="0"/>
                <w:numId w:val="10"/>
              </w:numPr>
              <w:snapToGrid w:val="0"/>
              <w:spacing w:line="360" w:lineRule="auto"/>
              <w:rPr>
                <w:rFonts w:ascii="宋体" w:hAnsi="宋体"/>
                <w:color w:val="auto"/>
                <w:highlight w:val="none"/>
              </w:rPr>
            </w:pPr>
            <w:r>
              <w:rPr>
                <w:rFonts w:hint="eastAsia" w:ascii="宋体" w:hAnsi="宋体"/>
                <w:color w:val="auto"/>
                <w:highlight w:val="none"/>
              </w:rPr>
              <w:t>支持建立补丁测试工作机，下载后的补丁应首先进行测试，测定合格后方可进行大规模的补丁分发。</w:t>
            </w:r>
          </w:p>
          <w:p w14:paraId="4490ED2A">
            <w:pPr>
              <w:numPr>
                <w:ilvl w:val="0"/>
                <w:numId w:val="10"/>
              </w:numPr>
              <w:snapToGrid w:val="0"/>
              <w:spacing w:line="360" w:lineRule="auto"/>
              <w:rPr>
                <w:rFonts w:ascii="宋体" w:hAnsi="宋体"/>
                <w:color w:val="auto"/>
                <w:highlight w:val="none"/>
              </w:rPr>
            </w:pPr>
            <w:r>
              <w:rPr>
                <w:rFonts w:hint="eastAsia" w:ascii="宋体" w:hAnsi="宋体"/>
                <w:color w:val="auto"/>
                <w:highlight w:val="none"/>
              </w:rPr>
              <w:t>支持定时、定周期、分类、分部门、分范围、客户机状态和用户自定义等策略。</w:t>
            </w:r>
          </w:p>
          <w:p w14:paraId="06E748F7">
            <w:pPr>
              <w:numPr>
                <w:ilvl w:val="0"/>
                <w:numId w:val="10"/>
              </w:numPr>
              <w:snapToGrid w:val="0"/>
              <w:spacing w:line="360" w:lineRule="auto"/>
              <w:rPr>
                <w:rFonts w:ascii="宋体" w:hAnsi="宋体"/>
                <w:color w:val="auto"/>
                <w:highlight w:val="none"/>
              </w:rPr>
            </w:pPr>
            <w:r>
              <w:rPr>
                <w:rFonts w:hint="eastAsia" w:ascii="宋体" w:hAnsi="宋体"/>
                <w:color w:val="auto"/>
                <w:highlight w:val="none"/>
              </w:rPr>
              <w:t>具备详尽的补丁分发策略，补丁可以定时、定周期、分类、分范围、分部门、分范围、客户机状态和用户自定义等进行分发。</w:t>
            </w:r>
          </w:p>
          <w:p w14:paraId="71E6E400">
            <w:pPr>
              <w:numPr>
                <w:ilvl w:val="0"/>
                <w:numId w:val="10"/>
              </w:numPr>
              <w:snapToGrid w:val="0"/>
              <w:spacing w:line="360" w:lineRule="auto"/>
              <w:rPr>
                <w:rFonts w:ascii="宋体" w:hAnsi="宋体"/>
                <w:color w:val="auto"/>
                <w:highlight w:val="none"/>
              </w:rPr>
            </w:pPr>
            <w:r>
              <w:rPr>
                <w:rFonts w:hint="eastAsia" w:ascii="宋体" w:hAnsi="宋体"/>
                <w:color w:val="auto"/>
                <w:highlight w:val="none"/>
              </w:rPr>
              <w:t>支持针对特定的一个补丁或多个补丁，对指定计算机或者计算机网络进行补丁自动分发安装。</w:t>
            </w:r>
          </w:p>
          <w:p w14:paraId="41C5BDA6">
            <w:pPr>
              <w:numPr>
                <w:ilvl w:val="0"/>
                <w:numId w:val="10"/>
              </w:numPr>
              <w:snapToGrid w:val="0"/>
              <w:spacing w:line="360" w:lineRule="auto"/>
              <w:rPr>
                <w:rFonts w:ascii="宋体" w:hAnsi="宋体"/>
                <w:color w:val="auto"/>
                <w:highlight w:val="none"/>
              </w:rPr>
            </w:pPr>
            <w:r>
              <w:rPr>
                <w:rFonts w:hint="eastAsia" w:ascii="宋体" w:hAnsi="宋体"/>
                <w:color w:val="auto"/>
                <w:highlight w:val="none"/>
              </w:rPr>
              <w:t>支持在指定时间、指定网络范围内以不同方式（如推、拉）分发补丁，或者根据脚本策略统一控制客户端下载补丁。当系统监测到有客户端未打补丁时，可对漏打补丁的客户端进行推送补丁。</w:t>
            </w:r>
          </w:p>
          <w:p w14:paraId="472EBA0B">
            <w:pPr>
              <w:spacing w:line="360" w:lineRule="auto"/>
              <w:rPr>
                <w:rFonts w:ascii="宋体" w:hAnsi="宋体"/>
                <w:color w:val="auto"/>
                <w:szCs w:val="24"/>
                <w:highlight w:val="none"/>
              </w:rPr>
            </w:pPr>
            <w:r>
              <w:rPr>
                <w:rFonts w:hint="eastAsia" w:ascii="宋体" w:hAnsi="宋体"/>
                <w:color w:val="auto"/>
                <w:highlight w:val="none"/>
              </w:rPr>
              <w:t>9）支持多种方式进行下载流量控制。</w:t>
            </w:r>
          </w:p>
        </w:tc>
      </w:tr>
    </w:tbl>
    <w:p w14:paraId="33F1F6E0"/>
    <w:p w14:paraId="2CF1B23F">
      <w:pPr>
        <w:pStyle w:val="4"/>
        <w:numPr>
          <w:ilvl w:val="0"/>
          <w:numId w:val="0"/>
        </w:num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11、分布式存储设备</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6910"/>
      </w:tblGrid>
      <w:tr w14:paraId="7021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4D1ECDAC">
            <w:pPr>
              <w:widowControl/>
              <w:spacing w:line="360" w:lineRule="auto"/>
              <w:jc w:val="center"/>
              <w:rPr>
                <w:rFonts w:ascii="宋体" w:hAnsi="宋体"/>
                <w:b/>
                <w:szCs w:val="24"/>
              </w:rPr>
            </w:pPr>
            <w:r>
              <w:rPr>
                <w:rFonts w:hint="eastAsia" w:ascii="宋体" w:hAnsi="宋体"/>
                <w:b/>
                <w:szCs w:val="24"/>
              </w:rPr>
              <w:t>指标项</w:t>
            </w:r>
          </w:p>
        </w:tc>
        <w:tc>
          <w:tcPr>
            <w:tcW w:w="6727"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31C510C8">
            <w:pPr>
              <w:widowControl/>
              <w:spacing w:line="360" w:lineRule="auto"/>
              <w:jc w:val="center"/>
              <w:rPr>
                <w:rFonts w:ascii="宋体" w:hAnsi="宋体" w:cs="宋体"/>
                <w:b/>
                <w:kern w:val="0"/>
                <w:szCs w:val="24"/>
              </w:rPr>
            </w:pPr>
            <w:r>
              <w:rPr>
                <w:rFonts w:hint="eastAsia" w:ascii="宋体" w:hAnsi="宋体"/>
                <w:b/>
                <w:szCs w:val="24"/>
              </w:rPr>
              <w:t>指标要求</w:t>
            </w:r>
          </w:p>
        </w:tc>
      </w:tr>
      <w:tr w14:paraId="37B15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vAlign w:val="center"/>
          </w:tcPr>
          <w:p w14:paraId="55D98E81">
            <w:pPr>
              <w:spacing w:line="360" w:lineRule="auto"/>
              <w:jc w:val="center"/>
              <w:rPr>
                <w:rFonts w:ascii="宋体" w:hAnsi="宋体"/>
                <w:b/>
                <w:bCs/>
                <w:szCs w:val="24"/>
              </w:rPr>
            </w:pPr>
            <w:r>
              <w:rPr>
                <w:rFonts w:hint="eastAsia" w:ascii="宋体" w:hAnsi="宋体"/>
                <w:b/>
                <w:bCs/>
                <w:szCs w:val="24"/>
              </w:rPr>
              <w:t>配置要求</w:t>
            </w:r>
          </w:p>
        </w:tc>
        <w:tc>
          <w:tcPr>
            <w:tcW w:w="6727" w:type="dxa"/>
            <w:tcBorders>
              <w:top w:val="single" w:color="auto" w:sz="4" w:space="0"/>
              <w:left w:val="single" w:color="auto" w:sz="4" w:space="0"/>
              <w:bottom w:val="single" w:color="auto" w:sz="4" w:space="0"/>
              <w:right w:val="single" w:color="auto" w:sz="4" w:space="0"/>
            </w:tcBorders>
            <w:vAlign w:val="center"/>
          </w:tcPr>
          <w:p w14:paraId="779EDA8F">
            <w:pPr>
              <w:spacing w:line="360" w:lineRule="auto"/>
              <w:rPr>
                <w:rFonts w:ascii="宋体" w:hAnsi="宋体"/>
                <w:szCs w:val="24"/>
              </w:rPr>
            </w:pPr>
            <w:r>
              <w:rPr>
                <w:rFonts w:ascii="宋体" w:hAnsi="宋体"/>
                <w:szCs w:val="24"/>
              </w:rPr>
              <w:t>1、★配置≥3个存储节点，每个节点硬件参数：国产化处理器≥2颗，单CPU主频≥2.5GHz，单颗CPU核心数≥16，内存：≥128GB DDR5以上，频率≥5600，480GB SSD硬盘≥2块，1.92TB NVMe固态硬盘≥2块，16TB SATA HDD硬盘≥10块，千兆电口≥4个，万兆光口≥4个，冗余电源。</w:t>
            </w:r>
            <w:r>
              <w:rPr>
                <w:rFonts w:hint="eastAsia" w:ascii="宋体" w:hAnsi="宋体"/>
                <w:szCs w:val="24"/>
              </w:rPr>
              <w:t>3个分布式存储节点共</w:t>
            </w:r>
            <w:r>
              <w:rPr>
                <w:rFonts w:ascii="宋体" w:hAnsi="宋体"/>
                <w:szCs w:val="24"/>
              </w:rPr>
              <w:t>配置不少于500T的分布式存储容量授权。</w:t>
            </w:r>
          </w:p>
          <w:p w14:paraId="243391B1">
            <w:pPr>
              <w:spacing w:line="360" w:lineRule="auto"/>
              <w:rPr>
                <w:rFonts w:ascii="宋体" w:hAnsi="宋体"/>
                <w:szCs w:val="24"/>
              </w:rPr>
            </w:pPr>
            <w:r>
              <w:rPr>
                <w:rFonts w:ascii="宋体" w:hAnsi="宋体"/>
                <w:szCs w:val="24"/>
              </w:rPr>
              <w:t>2、支持同时提供NFS、CIFS、FTP以及三种存储接口，无须在应用层安装插件，满足不同应用系统对存储接口的要求（提供产品功能截图）</w:t>
            </w:r>
          </w:p>
          <w:p w14:paraId="696902F3">
            <w:pPr>
              <w:spacing w:line="360" w:lineRule="auto"/>
              <w:rPr>
                <w:rFonts w:ascii="宋体" w:hAnsi="宋体"/>
                <w:szCs w:val="24"/>
              </w:rPr>
            </w:pPr>
            <w:r>
              <w:rPr>
                <w:rFonts w:ascii="宋体" w:hAnsi="宋体"/>
                <w:szCs w:val="24"/>
              </w:rPr>
              <w:t>3、支持统一全局命名空间，系统内所有节点的存储资源被整合为一个大容量的文件存储空间，实现资源共享，文件系统内任意数据可通过任意节点进行读写访问。</w:t>
            </w:r>
          </w:p>
          <w:p w14:paraId="7CA30156">
            <w:pPr>
              <w:spacing w:line="360" w:lineRule="auto"/>
              <w:rPr>
                <w:rFonts w:ascii="宋体" w:hAnsi="宋体"/>
                <w:szCs w:val="24"/>
              </w:rPr>
            </w:pPr>
            <w:r>
              <w:rPr>
                <w:rFonts w:ascii="宋体" w:hAnsi="宋体"/>
                <w:szCs w:val="24"/>
              </w:rPr>
              <w:t>4、支持数据预读特性，将热点数据预读至缓存层，提高业务性能。</w:t>
            </w:r>
          </w:p>
          <w:p w14:paraId="14773103">
            <w:pPr>
              <w:spacing w:line="360" w:lineRule="auto"/>
              <w:rPr>
                <w:rFonts w:ascii="宋体" w:hAnsi="宋体"/>
                <w:szCs w:val="24"/>
              </w:rPr>
            </w:pPr>
            <w:r>
              <w:rPr>
                <w:rFonts w:ascii="宋体" w:hAnsi="宋体"/>
                <w:szCs w:val="24"/>
              </w:rPr>
              <w:t>5、支持硬盘亚健康预测、检测和故障自动处理，坏道定时扫描，静默错误检测，能够提前预判硬盘故障风险，做好硬件更换准备</w:t>
            </w:r>
          </w:p>
          <w:p w14:paraId="3BA001CD">
            <w:pPr>
              <w:spacing w:line="360" w:lineRule="auto"/>
              <w:rPr>
                <w:rFonts w:ascii="宋体" w:hAnsi="宋体"/>
                <w:szCs w:val="24"/>
              </w:rPr>
            </w:pPr>
            <w:r>
              <w:rPr>
                <w:rFonts w:ascii="宋体" w:hAnsi="宋体"/>
                <w:szCs w:val="24"/>
              </w:rPr>
              <w:t>6、支持文件审计功能，审计日志可监控文件上传、复制、重命名、删除文件等操作，从而在文件状态出现异常时可以进行追溯。</w:t>
            </w:r>
          </w:p>
          <w:p w14:paraId="0471FAC8">
            <w:pPr>
              <w:spacing w:line="360" w:lineRule="auto"/>
              <w:rPr>
                <w:rFonts w:ascii="宋体" w:hAnsi="宋体"/>
                <w:szCs w:val="24"/>
              </w:rPr>
            </w:pPr>
            <w:r>
              <w:rPr>
                <w:rFonts w:ascii="宋体" w:hAnsi="宋体"/>
                <w:szCs w:val="24"/>
              </w:rPr>
              <w:t>7、支持针对目录开启回收站，当文件或目录被用户或病毒删除时，能快速找回文件。回收站支持设置多种策略。</w:t>
            </w:r>
          </w:p>
          <w:p w14:paraId="23AE6DF3">
            <w:pPr>
              <w:spacing w:line="360" w:lineRule="auto"/>
              <w:rPr>
                <w:rFonts w:ascii="宋体" w:hAnsi="宋体"/>
                <w:szCs w:val="24"/>
              </w:rPr>
            </w:pPr>
            <w:r>
              <w:rPr>
                <w:rFonts w:ascii="宋体" w:hAnsi="宋体"/>
                <w:szCs w:val="24"/>
              </w:rPr>
              <w:t>8、支持数据缩减的能力，支持以文件目录为单位配置数据压缩策略，支持查看计算压缩的数据量和压缩率。</w:t>
            </w:r>
          </w:p>
          <w:p w14:paraId="75BCCBF4">
            <w:pPr>
              <w:spacing w:line="360" w:lineRule="auto"/>
              <w:rPr>
                <w:rFonts w:ascii="宋体" w:hAnsi="宋体"/>
                <w:szCs w:val="24"/>
              </w:rPr>
            </w:pPr>
            <w:r>
              <w:rPr>
                <w:rFonts w:ascii="宋体" w:hAnsi="宋体"/>
                <w:szCs w:val="24"/>
              </w:rPr>
              <w:t>9、支持数据重建平衡，并对数据重建智能限速，避免数据重建过程中IO性能占用导致对业务的性能造成影响（提供产品功能截图）</w:t>
            </w:r>
          </w:p>
          <w:p w14:paraId="66E9572F">
            <w:pPr>
              <w:spacing w:line="360" w:lineRule="auto"/>
              <w:rPr>
                <w:rFonts w:ascii="宋体" w:hAnsi="宋体"/>
                <w:szCs w:val="24"/>
              </w:rPr>
            </w:pPr>
            <w:r>
              <w:rPr>
                <w:rFonts w:ascii="宋体" w:hAnsi="宋体"/>
                <w:szCs w:val="24"/>
              </w:rPr>
              <w:t>10、支持以文件目录为单位对存储性能进行监控，对文件目录的带宽、时延、元数据等进行可视化操作与趋势跟踪。</w:t>
            </w:r>
          </w:p>
          <w:p w14:paraId="20C2968B">
            <w:pPr>
              <w:spacing w:line="360" w:lineRule="auto"/>
              <w:rPr>
                <w:rFonts w:ascii="宋体" w:hAnsi="宋体"/>
                <w:szCs w:val="24"/>
              </w:rPr>
            </w:pPr>
            <w:r>
              <w:rPr>
                <w:rFonts w:ascii="宋体" w:hAnsi="宋体"/>
                <w:szCs w:val="24"/>
              </w:rPr>
              <w:t>11、支持100亿+的文件规模，且在海量数据的条件下保持性能稳定。</w:t>
            </w:r>
          </w:p>
          <w:p w14:paraId="64161E9F">
            <w:pPr>
              <w:spacing w:line="360" w:lineRule="auto"/>
              <w:rPr>
                <w:rFonts w:ascii="宋体" w:hAnsi="宋体"/>
                <w:szCs w:val="24"/>
              </w:rPr>
            </w:pPr>
            <w:r>
              <w:rPr>
                <w:rFonts w:ascii="宋体" w:hAnsi="宋体"/>
                <w:szCs w:val="24"/>
              </w:rPr>
              <w:t>12、支持将某一目录下所有的元数据访问请求均衡打散到集群内多个节点的多个元数据服务MDS中，提升存储性能。</w:t>
            </w:r>
          </w:p>
          <w:p w14:paraId="3FA1A895">
            <w:pPr>
              <w:spacing w:line="360" w:lineRule="auto"/>
              <w:rPr>
                <w:rFonts w:ascii="宋体" w:hAnsi="宋体"/>
                <w:szCs w:val="24"/>
              </w:rPr>
            </w:pPr>
            <w:r>
              <w:rPr>
                <w:rFonts w:ascii="宋体" w:hAnsi="宋体"/>
                <w:szCs w:val="24"/>
              </w:rPr>
              <w:t>13、支持7*24小时监控，针对存储池、硬盘容量等亚健康状态及业务异常时告警，支持配置邮件、短信、企业微信、电话、钉钉、飞书等多种告警方式，并支持在小程序中监控分布式存储的告警信息和资源状态（提供产品功能截图）</w:t>
            </w:r>
          </w:p>
          <w:p w14:paraId="37CD2868">
            <w:pPr>
              <w:spacing w:line="360" w:lineRule="auto"/>
              <w:rPr>
                <w:rFonts w:ascii="宋体" w:hAnsi="宋体"/>
                <w:szCs w:val="24"/>
              </w:rPr>
            </w:pPr>
            <w:r>
              <w:rPr>
                <w:rFonts w:ascii="宋体" w:hAnsi="宋体"/>
                <w:szCs w:val="24"/>
              </w:rPr>
              <w:t>14、存储系统内置病毒防护引擎，支持中毒前的勒索病毒防护、中毒时自动打快照、中毒后进行文件的安全恢复。支持实时监测勒索文件并提供直接阻止可疑文件创建，实时监控分析业务系统端的数据行为，智能识别威胁事件，并创建勒索防护快照保护数据，同时及时产生告警通知管理员进行处置，保障存储数据安全（提供产品功能截图）</w:t>
            </w:r>
          </w:p>
          <w:p w14:paraId="163CDB2F">
            <w:pPr>
              <w:spacing w:line="360" w:lineRule="auto"/>
              <w:rPr>
                <w:rFonts w:ascii="宋体" w:hAnsi="宋体"/>
                <w:szCs w:val="24"/>
              </w:rPr>
            </w:pPr>
            <w:r>
              <w:rPr>
                <w:rFonts w:ascii="宋体" w:hAnsi="宋体"/>
                <w:szCs w:val="24"/>
              </w:rPr>
              <w:t>15、支持小文件优化功能，在大量小文件写入到存储后，不会造成大量存储空间浪费。</w:t>
            </w:r>
          </w:p>
        </w:tc>
      </w:tr>
    </w:tbl>
    <w:p w14:paraId="15CBE204"/>
    <w:p w14:paraId="4F4FD5C8">
      <w:pPr>
        <w:pStyle w:val="4"/>
        <w:numPr>
          <w:ilvl w:val="0"/>
          <w:numId w:val="0"/>
        </w:num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12、存储交换机</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6910"/>
      </w:tblGrid>
      <w:tr w14:paraId="01F0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1FDCC883">
            <w:pPr>
              <w:widowControl/>
              <w:spacing w:line="360" w:lineRule="auto"/>
              <w:jc w:val="center"/>
              <w:rPr>
                <w:rFonts w:ascii="宋体" w:hAnsi="宋体"/>
                <w:b/>
                <w:szCs w:val="24"/>
              </w:rPr>
            </w:pPr>
            <w:r>
              <w:rPr>
                <w:rFonts w:hint="eastAsia" w:ascii="宋体" w:hAnsi="宋体"/>
                <w:b/>
                <w:szCs w:val="24"/>
              </w:rPr>
              <w:t>指标项</w:t>
            </w:r>
          </w:p>
        </w:tc>
        <w:tc>
          <w:tcPr>
            <w:tcW w:w="6727"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74051484">
            <w:pPr>
              <w:widowControl/>
              <w:spacing w:line="360" w:lineRule="auto"/>
              <w:jc w:val="center"/>
              <w:rPr>
                <w:rFonts w:ascii="宋体" w:hAnsi="宋体" w:cs="宋体"/>
                <w:b/>
                <w:kern w:val="0"/>
                <w:szCs w:val="24"/>
              </w:rPr>
            </w:pPr>
            <w:r>
              <w:rPr>
                <w:rFonts w:hint="eastAsia" w:ascii="宋体" w:hAnsi="宋体"/>
                <w:b/>
                <w:szCs w:val="24"/>
              </w:rPr>
              <w:t>指标要求</w:t>
            </w:r>
          </w:p>
        </w:tc>
      </w:tr>
      <w:tr w14:paraId="25C69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vAlign w:val="center"/>
          </w:tcPr>
          <w:p w14:paraId="155B4414">
            <w:pPr>
              <w:spacing w:line="360" w:lineRule="auto"/>
              <w:jc w:val="center"/>
              <w:rPr>
                <w:rFonts w:ascii="宋体" w:hAnsi="宋体"/>
                <w:b/>
                <w:bCs/>
                <w:szCs w:val="24"/>
              </w:rPr>
            </w:pPr>
            <w:r>
              <w:rPr>
                <w:rFonts w:hint="eastAsia" w:ascii="宋体" w:hAnsi="宋体"/>
                <w:b/>
                <w:bCs/>
                <w:szCs w:val="24"/>
              </w:rPr>
              <w:t>配置要求</w:t>
            </w:r>
          </w:p>
        </w:tc>
        <w:tc>
          <w:tcPr>
            <w:tcW w:w="6727" w:type="dxa"/>
            <w:tcBorders>
              <w:top w:val="single" w:color="auto" w:sz="4" w:space="0"/>
              <w:left w:val="single" w:color="auto" w:sz="4" w:space="0"/>
              <w:bottom w:val="single" w:color="auto" w:sz="4" w:space="0"/>
              <w:right w:val="single" w:color="auto" w:sz="4" w:space="0"/>
            </w:tcBorders>
            <w:vAlign w:val="center"/>
          </w:tcPr>
          <w:p w14:paraId="7E9F7241">
            <w:pPr>
              <w:spacing w:line="360" w:lineRule="auto"/>
              <w:rPr>
                <w:rFonts w:ascii="宋体" w:hAnsi="宋体"/>
                <w:szCs w:val="24"/>
              </w:rPr>
            </w:pPr>
            <w:r>
              <w:rPr>
                <w:rFonts w:ascii="宋体" w:hAnsi="宋体"/>
                <w:szCs w:val="24"/>
              </w:rPr>
              <w:t>1、★千兆电口≥16个，万兆光口≥8个，25G光口≥8个，万兆多模光模块≥16个。</w:t>
            </w:r>
          </w:p>
          <w:p w14:paraId="45EF33CE">
            <w:pPr>
              <w:spacing w:line="360" w:lineRule="auto"/>
              <w:rPr>
                <w:rFonts w:ascii="宋体" w:hAnsi="宋体"/>
                <w:szCs w:val="24"/>
              </w:rPr>
            </w:pPr>
            <w:r>
              <w:rPr>
                <w:rFonts w:ascii="宋体" w:hAnsi="宋体"/>
                <w:szCs w:val="24"/>
              </w:rPr>
              <w:t>2、交换容量≥2.5Tbps，包转发率≥1000Mpps。</w:t>
            </w:r>
          </w:p>
          <w:p w14:paraId="04A339FC">
            <w:pPr>
              <w:spacing w:line="360" w:lineRule="auto"/>
              <w:rPr>
                <w:rFonts w:ascii="宋体" w:hAnsi="宋体"/>
                <w:szCs w:val="24"/>
              </w:rPr>
            </w:pPr>
            <w:r>
              <w:rPr>
                <w:rFonts w:ascii="宋体" w:hAnsi="宋体"/>
                <w:szCs w:val="24"/>
              </w:rPr>
              <w:t>3、支持模块化可插拔双电源，且实配双电源。</w:t>
            </w:r>
          </w:p>
          <w:p w14:paraId="694F6445">
            <w:pPr>
              <w:spacing w:line="360" w:lineRule="auto"/>
              <w:rPr>
                <w:rFonts w:ascii="宋体" w:hAnsi="宋体"/>
                <w:szCs w:val="24"/>
              </w:rPr>
            </w:pPr>
            <w:r>
              <w:rPr>
                <w:rFonts w:ascii="宋体" w:hAnsi="宋体"/>
                <w:szCs w:val="24"/>
              </w:rPr>
              <w:t>4、支持VRRP、Smart-link、M-LAG、堆叠；</w:t>
            </w:r>
          </w:p>
        </w:tc>
      </w:tr>
    </w:tbl>
    <w:p w14:paraId="1F51C9B9"/>
    <w:p w14:paraId="44C92AA7">
      <w:pPr>
        <w:pStyle w:val="4"/>
        <w:numPr>
          <w:ilvl w:val="0"/>
          <w:numId w:val="0"/>
        </w:num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13、防火墙</w:t>
      </w:r>
      <w:r>
        <w:rPr>
          <w:rFonts w:hint="eastAsia" w:ascii="宋体" w:hAnsi="宋体" w:eastAsia="宋体" w:cs="Times New Roman"/>
          <w:color w:val="auto"/>
          <w:sz w:val="24"/>
          <w:szCs w:val="24"/>
        </w:rPr>
        <w:t>1</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6910"/>
      </w:tblGrid>
      <w:tr w14:paraId="57984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6EE40D95">
            <w:pPr>
              <w:widowControl/>
              <w:spacing w:line="360" w:lineRule="auto"/>
              <w:jc w:val="center"/>
              <w:rPr>
                <w:rFonts w:ascii="宋体" w:hAnsi="宋体"/>
                <w:b/>
                <w:szCs w:val="24"/>
              </w:rPr>
            </w:pPr>
            <w:r>
              <w:rPr>
                <w:rFonts w:hint="eastAsia" w:ascii="宋体" w:hAnsi="宋体"/>
                <w:b/>
                <w:szCs w:val="24"/>
              </w:rPr>
              <w:t>指标项</w:t>
            </w:r>
          </w:p>
        </w:tc>
        <w:tc>
          <w:tcPr>
            <w:tcW w:w="6727"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3DEA10EE">
            <w:pPr>
              <w:widowControl/>
              <w:spacing w:line="360" w:lineRule="auto"/>
              <w:jc w:val="center"/>
              <w:rPr>
                <w:rFonts w:ascii="宋体" w:hAnsi="宋体" w:cs="宋体"/>
                <w:b/>
                <w:kern w:val="0"/>
                <w:szCs w:val="24"/>
              </w:rPr>
            </w:pPr>
            <w:r>
              <w:rPr>
                <w:rFonts w:hint="eastAsia" w:ascii="宋体" w:hAnsi="宋体"/>
                <w:b/>
                <w:szCs w:val="24"/>
              </w:rPr>
              <w:t>指标要求</w:t>
            </w:r>
          </w:p>
        </w:tc>
      </w:tr>
      <w:tr w14:paraId="665B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vAlign w:val="center"/>
          </w:tcPr>
          <w:p w14:paraId="0712803D">
            <w:pPr>
              <w:spacing w:line="360" w:lineRule="auto"/>
              <w:jc w:val="center"/>
              <w:rPr>
                <w:rFonts w:ascii="宋体" w:hAnsi="宋体"/>
                <w:b/>
                <w:bCs/>
                <w:szCs w:val="24"/>
              </w:rPr>
            </w:pPr>
            <w:r>
              <w:rPr>
                <w:rFonts w:hint="eastAsia" w:ascii="宋体" w:hAnsi="宋体"/>
                <w:b/>
                <w:bCs/>
                <w:szCs w:val="24"/>
              </w:rPr>
              <w:t>配置要求</w:t>
            </w:r>
          </w:p>
        </w:tc>
        <w:tc>
          <w:tcPr>
            <w:tcW w:w="6727" w:type="dxa"/>
            <w:tcBorders>
              <w:top w:val="single" w:color="auto" w:sz="4" w:space="0"/>
              <w:left w:val="single" w:color="auto" w:sz="4" w:space="0"/>
              <w:bottom w:val="single" w:color="auto" w:sz="4" w:space="0"/>
              <w:right w:val="single" w:color="auto" w:sz="4" w:space="0"/>
            </w:tcBorders>
            <w:vAlign w:val="center"/>
          </w:tcPr>
          <w:p w14:paraId="38CFEEA8">
            <w:pPr>
              <w:spacing w:line="360" w:lineRule="auto"/>
              <w:rPr>
                <w:rFonts w:ascii="宋体" w:hAnsi="宋体"/>
                <w:szCs w:val="24"/>
              </w:rPr>
            </w:pPr>
            <w:r>
              <w:rPr>
                <w:rFonts w:ascii="宋体" w:hAnsi="宋体"/>
                <w:szCs w:val="24"/>
              </w:rPr>
              <w:t>1、★产品CPU符合安全可靠测评公告要求。网络层吞吐量≥20G，并发连接数≥800万，新建连接数≥16万，千兆电口≥6个，万兆光口≥2个。</w:t>
            </w:r>
          </w:p>
          <w:p w14:paraId="1C037E26">
            <w:pPr>
              <w:spacing w:line="360" w:lineRule="auto"/>
              <w:rPr>
                <w:rFonts w:ascii="宋体" w:hAnsi="宋体"/>
                <w:szCs w:val="24"/>
              </w:rPr>
            </w:pPr>
            <w:r>
              <w:rPr>
                <w:rFonts w:ascii="宋体" w:hAnsi="宋体"/>
                <w:szCs w:val="24"/>
              </w:rPr>
              <w:t>2、支持路由模式、透明模式、虚拟网线模式、旁路镜像模式等多种部署方式。</w:t>
            </w:r>
          </w:p>
          <w:p w14:paraId="4D0B267C">
            <w:pPr>
              <w:spacing w:line="360" w:lineRule="auto"/>
              <w:rPr>
                <w:rFonts w:ascii="宋体" w:hAnsi="宋体"/>
                <w:szCs w:val="24"/>
              </w:rPr>
            </w:pPr>
            <w:r>
              <w:rPr>
                <w:rFonts w:ascii="宋体" w:hAnsi="宋体"/>
                <w:szCs w:val="24"/>
              </w:rPr>
              <w:t>3、支持虚拟防火墙功能，支持虚拟防火墙的创建和删除，具备独立的接口、会话管理、应用控制策略、NAT等资源。</w:t>
            </w:r>
          </w:p>
          <w:p w14:paraId="3FD0431B">
            <w:pPr>
              <w:spacing w:line="360" w:lineRule="auto"/>
              <w:rPr>
                <w:rFonts w:ascii="宋体" w:hAnsi="宋体"/>
                <w:szCs w:val="24"/>
              </w:rPr>
            </w:pPr>
            <w:r>
              <w:rPr>
                <w:rFonts w:ascii="宋体" w:hAnsi="宋体"/>
                <w:szCs w:val="24"/>
              </w:rPr>
              <w:t>4、支持僵尸主机检测功能，内置僵尸网络与病毒防护特征库超过160万条，可识别主机的异常外联行为。</w:t>
            </w:r>
          </w:p>
          <w:p w14:paraId="33AB3767">
            <w:pPr>
              <w:spacing w:line="360" w:lineRule="auto"/>
              <w:rPr>
                <w:rFonts w:ascii="宋体" w:hAnsi="宋体"/>
                <w:szCs w:val="24"/>
              </w:rPr>
            </w:pPr>
            <w:r>
              <w:rPr>
                <w:rFonts w:ascii="宋体" w:hAnsi="宋体"/>
                <w:szCs w:val="24"/>
              </w:rPr>
              <w:t>5、支持IPSec VPN智能选路功能，根据线路质量和应用实现自动链路切换。（提供带有CMA、CNAS标识的检测报告证明，至少包含报告首页，对应功能测试页和报告尾页）</w:t>
            </w:r>
          </w:p>
          <w:p w14:paraId="4A794707">
            <w:pPr>
              <w:spacing w:line="360" w:lineRule="auto"/>
              <w:rPr>
                <w:rFonts w:ascii="宋体" w:hAnsi="宋体"/>
                <w:szCs w:val="24"/>
              </w:rPr>
            </w:pPr>
            <w:r>
              <w:rPr>
                <w:rFonts w:ascii="宋体" w:hAnsi="宋体"/>
                <w:szCs w:val="24"/>
              </w:rPr>
              <w:t>6、支持异常数据包攻击防御，防护类型包括IP数据块分片传输防护、Teardrop攻击防护、Smurf攻击防护、Land攻击防护、WinNuke攻击防护等攻击类型。（提供产品功能截图）</w:t>
            </w:r>
          </w:p>
          <w:p w14:paraId="29A6C4DD">
            <w:pPr>
              <w:spacing w:line="360" w:lineRule="auto"/>
              <w:rPr>
                <w:rFonts w:ascii="宋体" w:hAnsi="宋体"/>
                <w:szCs w:val="24"/>
              </w:rPr>
            </w:pPr>
            <w:r>
              <w:rPr>
                <w:rFonts w:ascii="宋体" w:hAnsi="宋体"/>
                <w:szCs w:val="24"/>
              </w:rPr>
              <w:t>7、支持杀毒白名单设置，可以例外排除特定MD5和URL的病毒文件，针对特定文件不进行查杀。</w:t>
            </w:r>
          </w:p>
          <w:p w14:paraId="7DDB2CA5">
            <w:pPr>
              <w:spacing w:line="360" w:lineRule="auto"/>
              <w:rPr>
                <w:rFonts w:ascii="宋体" w:hAnsi="宋体"/>
                <w:szCs w:val="24"/>
              </w:rPr>
            </w:pPr>
            <w:r>
              <w:rPr>
                <w:rFonts w:ascii="宋体" w:hAnsi="宋体"/>
                <w:szCs w:val="24"/>
              </w:rPr>
              <w:t>8、支持独立的账号安全防护模块，具备事前账号脆弱性、事中账号爆破、事后账号失陷的全生命周期安全防护，在设备界面可以详细展示账号安全相关信息，包括风险业务、风险等级、存在账号入口、存在弱口令、遭受口令爆破、异常登录账号等。</w:t>
            </w:r>
          </w:p>
          <w:p w14:paraId="326E788C">
            <w:pPr>
              <w:spacing w:line="360" w:lineRule="auto"/>
              <w:rPr>
                <w:rFonts w:ascii="宋体" w:hAnsi="宋体"/>
                <w:szCs w:val="24"/>
              </w:rPr>
            </w:pPr>
            <w:r>
              <w:rPr>
                <w:rFonts w:ascii="宋体" w:hAnsi="宋体"/>
                <w:szCs w:val="24"/>
              </w:rPr>
              <w:t>9、支持云端威胁情报网关技术，实现对威胁流量就近进行实时检测&amp;拦截，实现失陷外联实时阻断，保护资产安全。</w:t>
            </w:r>
          </w:p>
          <w:p w14:paraId="43F456FD">
            <w:pPr>
              <w:spacing w:line="360" w:lineRule="auto"/>
              <w:rPr>
                <w:rFonts w:ascii="宋体" w:hAnsi="宋体"/>
                <w:szCs w:val="24"/>
              </w:rPr>
            </w:pPr>
            <w:r>
              <w:rPr>
                <w:rFonts w:hint="eastAsia" w:ascii="宋体" w:hAnsi="宋体"/>
                <w:szCs w:val="24"/>
              </w:rPr>
              <w:t>1</w:t>
            </w:r>
            <w:r>
              <w:rPr>
                <w:rFonts w:ascii="宋体" w:hAnsi="宋体"/>
                <w:szCs w:val="24"/>
              </w:rPr>
              <w:t>0</w:t>
            </w:r>
            <w:r>
              <w:rPr>
                <w:rFonts w:hint="eastAsia" w:ascii="宋体" w:hAnsi="宋体"/>
                <w:szCs w:val="24"/>
              </w:rPr>
              <w:t>、</w:t>
            </w:r>
            <w:r>
              <w:rPr>
                <w:bCs/>
              </w:rPr>
              <w:t>支持Cookie攻击防护功能，并通过日志记录Cookie被篡改。</w:t>
            </w:r>
          </w:p>
          <w:p w14:paraId="188BA70C">
            <w:pPr>
              <w:snapToGrid w:val="0"/>
              <w:rPr>
                <w:bCs/>
              </w:rPr>
            </w:pPr>
            <w:r>
              <w:rPr>
                <w:bCs/>
              </w:rPr>
              <w:t>11</w:t>
            </w:r>
            <w:r>
              <w:rPr>
                <w:rFonts w:hint="eastAsia"/>
                <w:bCs/>
              </w:rPr>
              <w:t>、</w:t>
            </w:r>
            <w:r>
              <w:rPr>
                <w:bCs/>
              </w:rPr>
              <w:t>支持服务器漏洞防扫描功能，并对扫描源IP进行日志记录和联动封锁。</w:t>
            </w:r>
          </w:p>
          <w:p w14:paraId="6BCE59E2">
            <w:pPr>
              <w:spacing w:line="360" w:lineRule="auto"/>
              <w:rPr>
                <w:rFonts w:ascii="宋体" w:hAnsi="宋体"/>
                <w:szCs w:val="24"/>
              </w:rPr>
            </w:pPr>
            <w:r>
              <w:rPr>
                <w:rFonts w:ascii="宋体" w:hAnsi="宋体"/>
                <w:szCs w:val="24"/>
              </w:rPr>
              <w:t>12、支持策略生命周期管理功能，支持对安全策略修改的时间、原因、变更类型进行统一管理，便于策略的运维与管理</w:t>
            </w:r>
          </w:p>
        </w:tc>
      </w:tr>
    </w:tbl>
    <w:p w14:paraId="75048100"/>
    <w:p w14:paraId="74763011">
      <w:pPr>
        <w:pStyle w:val="4"/>
        <w:numPr>
          <w:ilvl w:val="0"/>
          <w:numId w:val="0"/>
        </w:num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14、防火墙2</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6910"/>
      </w:tblGrid>
      <w:tr w14:paraId="42C9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2797F9D9">
            <w:pPr>
              <w:widowControl/>
              <w:spacing w:line="360" w:lineRule="auto"/>
              <w:jc w:val="center"/>
              <w:rPr>
                <w:rFonts w:ascii="宋体" w:hAnsi="宋体"/>
                <w:b/>
                <w:szCs w:val="24"/>
              </w:rPr>
            </w:pPr>
            <w:r>
              <w:rPr>
                <w:rFonts w:hint="eastAsia" w:ascii="宋体" w:hAnsi="宋体"/>
                <w:b/>
                <w:szCs w:val="24"/>
              </w:rPr>
              <w:t>指标项</w:t>
            </w:r>
          </w:p>
        </w:tc>
        <w:tc>
          <w:tcPr>
            <w:tcW w:w="6727"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0C58B94D">
            <w:pPr>
              <w:widowControl/>
              <w:spacing w:line="360" w:lineRule="auto"/>
              <w:jc w:val="center"/>
              <w:rPr>
                <w:rFonts w:ascii="宋体" w:hAnsi="宋体" w:cs="宋体"/>
                <w:b/>
                <w:kern w:val="0"/>
                <w:szCs w:val="24"/>
              </w:rPr>
            </w:pPr>
            <w:r>
              <w:rPr>
                <w:rFonts w:hint="eastAsia" w:ascii="宋体" w:hAnsi="宋体"/>
                <w:b/>
                <w:szCs w:val="24"/>
              </w:rPr>
              <w:t>指标要求</w:t>
            </w:r>
          </w:p>
        </w:tc>
      </w:tr>
      <w:tr w14:paraId="34DF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vAlign w:val="center"/>
          </w:tcPr>
          <w:p w14:paraId="47CD99B4">
            <w:pPr>
              <w:spacing w:line="360" w:lineRule="auto"/>
              <w:jc w:val="center"/>
              <w:rPr>
                <w:rFonts w:ascii="宋体" w:hAnsi="宋体"/>
                <w:b/>
                <w:bCs/>
                <w:szCs w:val="24"/>
              </w:rPr>
            </w:pPr>
            <w:r>
              <w:rPr>
                <w:rFonts w:hint="eastAsia" w:ascii="宋体" w:hAnsi="宋体"/>
                <w:b/>
                <w:bCs/>
                <w:szCs w:val="24"/>
              </w:rPr>
              <w:t>配置要求</w:t>
            </w:r>
          </w:p>
        </w:tc>
        <w:tc>
          <w:tcPr>
            <w:tcW w:w="6727" w:type="dxa"/>
            <w:tcBorders>
              <w:top w:val="single" w:color="auto" w:sz="4" w:space="0"/>
              <w:left w:val="single" w:color="auto" w:sz="4" w:space="0"/>
              <w:bottom w:val="single" w:color="auto" w:sz="4" w:space="0"/>
              <w:right w:val="single" w:color="auto" w:sz="4" w:space="0"/>
            </w:tcBorders>
            <w:vAlign w:val="center"/>
          </w:tcPr>
          <w:p w14:paraId="2F0083CC">
            <w:pPr>
              <w:spacing w:line="360" w:lineRule="auto"/>
              <w:rPr>
                <w:rFonts w:ascii="宋体" w:hAnsi="宋体"/>
                <w:szCs w:val="24"/>
              </w:rPr>
            </w:pPr>
            <w:r>
              <w:rPr>
                <w:rFonts w:ascii="宋体" w:hAnsi="宋体"/>
                <w:szCs w:val="24"/>
              </w:rPr>
              <w:t>1、★产品CPU符合安全可靠测评公告要求。网络层吞吐量≥20G，IPS吞吐量≥4G，并发连接数≥800万，千兆电口≥6个，万兆光口≥2个</w:t>
            </w:r>
          </w:p>
          <w:p w14:paraId="41CCF9F5">
            <w:pPr>
              <w:spacing w:line="360" w:lineRule="auto"/>
              <w:rPr>
                <w:rFonts w:ascii="宋体" w:hAnsi="宋体"/>
                <w:szCs w:val="24"/>
              </w:rPr>
            </w:pPr>
            <w:r>
              <w:rPr>
                <w:rFonts w:ascii="宋体" w:hAnsi="宋体"/>
                <w:szCs w:val="24"/>
              </w:rPr>
              <w:t>2、支持静态路由、策略路由和多播路由协议，并支持BGP、RIP、OSPF等动态路由协议</w:t>
            </w:r>
          </w:p>
          <w:p w14:paraId="6F9E0577">
            <w:pPr>
              <w:spacing w:line="360" w:lineRule="auto"/>
              <w:rPr>
                <w:rFonts w:ascii="宋体" w:hAnsi="宋体"/>
                <w:szCs w:val="24"/>
              </w:rPr>
            </w:pPr>
            <w:r>
              <w:rPr>
                <w:rFonts w:ascii="宋体" w:hAnsi="宋体"/>
                <w:szCs w:val="24"/>
              </w:rPr>
              <w:t>3、支持多对一、一对多和一对一等多种地址转换方式</w:t>
            </w:r>
          </w:p>
          <w:p w14:paraId="1C44A1CA">
            <w:pPr>
              <w:spacing w:line="360" w:lineRule="auto"/>
              <w:rPr>
                <w:rFonts w:ascii="宋体" w:hAnsi="宋体"/>
                <w:szCs w:val="24"/>
              </w:rPr>
            </w:pPr>
            <w:r>
              <w:rPr>
                <w:rFonts w:ascii="宋体" w:hAnsi="宋体"/>
                <w:szCs w:val="24"/>
              </w:rPr>
              <w:t>4、支持NAT穿透技术ALG，支持FTP、TFTP、SQLNET、PPTP、RTSP、SIP、H.323等协议。</w:t>
            </w:r>
          </w:p>
          <w:p w14:paraId="0FFF8A18">
            <w:pPr>
              <w:spacing w:line="360" w:lineRule="auto"/>
              <w:rPr>
                <w:rFonts w:ascii="宋体" w:hAnsi="宋体"/>
                <w:szCs w:val="24"/>
              </w:rPr>
            </w:pPr>
            <w:r>
              <w:rPr>
                <w:rFonts w:ascii="宋体" w:hAnsi="宋体"/>
                <w:szCs w:val="24"/>
              </w:rPr>
              <w:t>5、支持基于应用、服务、时间、域名、IPv6对象等维度的访问控制</w:t>
            </w:r>
          </w:p>
          <w:p w14:paraId="596167AD">
            <w:pPr>
              <w:spacing w:line="360" w:lineRule="auto"/>
              <w:rPr>
                <w:rFonts w:ascii="宋体" w:hAnsi="宋体"/>
                <w:szCs w:val="24"/>
              </w:rPr>
            </w:pPr>
            <w:r>
              <w:rPr>
                <w:rFonts w:ascii="宋体" w:hAnsi="宋体"/>
                <w:szCs w:val="24"/>
              </w:rPr>
              <w:t>6、支持IPsec VPN和SSL VPN功能</w:t>
            </w:r>
          </w:p>
          <w:p w14:paraId="08D33117">
            <w:pPr>
              <w:spacing w:line="360" w:lineRule="auto"/>
              <w:rPr>
                <w:rFonts w:ascii="宋体" w:hAnsi="宋体"/>
                <w:szCs w:val="24"/>
              </w:rPr>
            </w:pPr>
            <w:r>
              <w:rPr>
                <w:rFonts w:ascii="宋体" w:hAnsi="宋体"/>
                <w:szCs w:val="24"/>
              </w:rPr>
              <w:t>7、支持基于IP对象的会话控制策略，实现并发和新建连接数的合理限制。</w:t>
            </w:r>
          </w:p>
          <w:p w14:paraId="290EFFA5">
            <w:pPr>
              <w:spacing w:line="360" w:lineRule="auto"/>
              <w:rPr>
                <w:rFonts w:ascii="宋体" w:hAnsi="宋体"/>
                <w:szCs w:val="24"/>
              </w:rPr>
            </w:pPr>
            <w:r>
              <w:rPr>
                <w:rFonts w:ascii="宋体" w:hAnsi="宋体"/>
                <w:szCs w:val="24"/>
              </w:rPr>
              <w:t>8、支持对压缩病毒文件进行检测和拦截，压缩层数支持15层及以上。</w:t>
            </w:r>
          </w:p>
          <w:p w14:paraId="3F7230F0">
            <w:pPr>
              <w:spacing w:line="360" w:lineRule="auto"/>
              <w:rPr>
                <w:rFonts w:ascii="宋体" w:hAnsi="宋体"/>
                <w:szCs w:val="24"/>
              </w:rPr>
            </w:pPr>
            <w:r>
              <w:rPr>
                <w:rFonts w:ascii="宋体" w:hAnsi="宋体"/>
                <w:szCs w:val="24"/>
              </w:rPr>
              <w:t>9、支持基于网络区域、网络对象、MAC地址、服务、应用、域名等维度进行访问控制策略设置</w:t>
            </w:r>
          </w:p>
          <w:p w14:paraId="1ACC326B">
            <w:pPr>
              <w:spacing w:line="360" w:lineRule="auto"/>
              <w:rPr>
                <w:rFonts w:ascii="宋体" w:hAnsi="宋体"/>
                <w:szCs w:val="24"/>
              </w:rPr>
            </w:pPr>
            <w:r>
              <w:rPr>
                <w:rFonts w:ascii="宋体" w:hAnsi="宋体"/>
                <w:szCs w:val="24"/>
              </w:rPr>
              <w:t>10、支持对ICMP、UDP、DNS、SYN等协议进行DDOS防护</w:t>
            </w:r>
          </w:p>
          <w:p w14:paraId="358E7305">
            <w:pPr>
              <w:spacing w:line="360" w:lineRule="auto"/>
              <w:rPr>
                <w:rFonts w:ascii="宋体" w:hAnsi="宋体"/>
                <w:szCs w:val="24"/>
              </w:rPr>
            </w:pPr>
            <w:r>
              <w:rPr>
                <w:rFonts w:ascii="宋体" w:hAnsi="宋体"/>
                <w:szCs w:val="24"/>
              </w:rPr>
              <w:t>11、支持Web管理、串口管理、SSH管理等多种不同管理方式。</w:t>
            </w:r>
          </w:p>
        </w:tc>
      </w:tr>
    </w:tbl>
    <w:p w14:paraId="6F2E166E"/>
    <w:p w14:paraId="751EEF7D">
      <w:pPr>
        <w:pStyle w:val="4"/>
        <w:numPr>
          <w:ilvl w:val="0"/>
          <w:numId w:val="0"/>
        </w:num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15、日志分析管理系统</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6910"/>
      </w:tblGrid>
      <w:tr w14:paraId="420C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716DAD3A">
            <w:pPr>
              <w:widowControl/>
              <w:spacing w:line="360" w:lineRule="auto"/>
              <w:jc w:val="center"/>
              <w:rPr>
                <w:rFonts w:ascii="宋体" w:hAnsi="宋体"/>
                <w:b/>
                <w:szCs w:val="24"/>
              </w:rPr>
            </w:pPr>
            <w:r>
              <w:rPr>
                <w:rFonts w:hint="eastAsia" w:ascii="宋体" w:hAnsi="宋体"/>
                <w:b/>
                <w:szCs w:val="24"/>
              </w:rPr>
              <w:t>指标项</w:t>
            </w:r>
          </w:p>
        </w:tc>
        <w:tc>
          <w:tcPr>
            <w:tcW w:w="6727"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179B760B">
            <w:pPr>
              <w:widowControl/>
              <w:spacing w:line="360" w:lineRule="auto"/>
              <w:jc w:val="center"/>
              <w:rPr>
                <w:rFonts w:ascii="宋体" w:hAnsi="宋体" w:cs="宋体"/>
                <w:b/>
                <w:kern w:val="0"/>
                <w:szCs w:val="24"/>
              </w:rPr>
            </w:pPr>
            <w:r>
              <w:rPr>
                <w:rFonts w:hint="eastAsia" w:ascii="宋体" w:hAnsi="宋体"/>
                <w:b/>
                <w:szCs w:val="24"/>
              </w:rPr>
              <w:t>指标要求</w:t>
            </w:r>
          </w:p>
        </w:tc>
      </w:tr>
      <w:tr w14:paraId="7C5B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vAlign w:val="center"/>
          </w:tcPr>
          <w:p w14:paraId="6E02FD39">
            <w:pPr>
              <w:spacing w:line="360" w:lineRule="auto"/>
              <w:jc w:val="center"/>
              <w:rPr>
                <w:rFonts w:ascii="宋体" w:hAnsi="宋体"/>
                <w:b/>
                <w:bCs/>
                <w:szCs w:val="24"/>
              </w:rPr>
            </w:pPr>
            <w:r>
              <w:rPr>
                <w:rFonts w:hint="eastAsia" w:ascii="宋体" w:hAnsi="宋体"/>
                <w:b/>
                <w:bCs/>
                <w:szCs w:val="24"/>
              </w:rPr>
              <w:t>配置要求</w:t>
            </w:r>
          </w:p>
        </w:tc>
        <w:tc>
          <w:tcPr>
            <w:tcW w:w="6727" w:type="dxa"/>
            <w:tcBorders>
              <w:top w:val="single" w:color="auto" w:sz="4" w:space="0"/>
              <w:left w:val="single" w:color="auto" w:sz="4" w:space="0"/>
              <w:bottom w:val="single" w:color="auto" w:sz="4" w:space="0"/>
              <w:right w:val="single" w:color="auto" w:sz="4" w:space="0"/>
            </w:tcBorders>
            <w:vAlign w:val="center"/>
          </w:tcPr>
          <w:p w14:paraId="40535932">
            <w:pPr>
              <w:spacing w:line="360" w:lineRule="auto"/>
              <w:rPr>
                <w:rFonts w:ascii="宋体" w:hAnsi="宋体"/>
                <w:szCs w:val="24"/>
              </w:rPr>
            </w:pPr>
            <w:r>
              <w:rPr>
                <w:rFonts w:ascii="宋体" w:hAnsi="宋体"/>
                <w:szCs w:val="24"/>
              </w:rPr>
              <w:t>1、★内存≥16G，硬盘容量≥4T SATA HDD，网络接口：≥6个千兆电口，≥2个万兆光口。日志处理性能≥2500eps</w:t>
            </w:r>
          </w:p>
          <w:p w14:paraId="5891BC83">
            <w:pPr>
              <w:spacing w:line="360" w:lineRule="auto"/>
              <w:rPr>
                <w:rFonts w:ascii="宋体" w:hAnsi="宋体"/>
                <w:szCs w:val="24"/>
              </w:rPr>
            </w:pPr>
            <w:r>
              <w:rPr>
                <w:rFonts w:ascii="宋体" w:hAnsi="宋体"/>
                <w:szCs w:val="24"/>
              </w:rPr>
              <w:t>2、支持自动识别采集设备、支持设备异常告警、设备异常告警发送邮件或第三方接口</w:t>
            </w:r>
          </w:p>
          <w:p w14:paraId="69F9D643">
            <w:pPr>
              <w:spacing w:line="360" w:lineRule="auto"/>
              <w:rPr>
                <w:rFonts w:ascii="宋体" w:hAnsi="宋体"/>
                <w:szCs w:val="24"/>
              </w:rPr>
            </w:pPr>
            <w:r>
              <w:rPr>
                <w:rFonts w:ascii="宋体" w:hAnsi="宋体"/>
                <w:szCs w:val="24"/>
              </w:rPr>
              <w:t>3、支持通过正则、分隔符、json、xml的可视方式进行自定义规则解析，支持对解析结果字段的新增、合并、映射，以满足除内置解析规则之外未被覆盖的日志类型的解析。</w:t>
            </w:r>
          </w:p>
          <w:p w14:paraId="309DBF07">
            <w:pPr>
              <w:spacing w:line="360" w:lineRule="auto"/>
              <w:rPr>
                <w:rFonts w:ascii="宋体" w:hAnsi="宋体"/>
                <w:szCs w:val="24"/>
              </w:rPr>
            </w:pPr>
            <w:r>
              <w:rPr>
                <w:rFonts w:ascii="宋体" w:hAnsi="宋体"/>
                <w:szCs w:val="24"/>
              </w:rPr>
              <w:t>4、支持日志文件备份到外置存储节点，支持ISCSI存储方式，并可查看外置存储容量、状态等信息。</w:t>
            </w:r>
          </w:p>
          <w:p w14:paraId="2EB63E98">
            <w:pPr>
              <w:spacing w:line="360" w:lineRule="auto"/>
              <w:rPr>
                <w:rFonts w:ascii="宋体" w:hAnsi="宋体"/>
                <w:szCs w:val="24"/>
              </w:rPr>
            </w:pPr>
            <w:r>
              <w:rPr>
                <w:rFonts w:ascii="宋体" w:hAnsi="宋体"/>
                <w:szCs w:val="24"/>
              </w:rPr>
              <w:t>5、支持对每个日志源设置过滤条件规则，自动过滤无用日志，满足根据实际业务需求减少采集对象发送到核心服务器的安全事件数，减少对网络带宽和数据库存储空间的占用。</w:t>
            </w:r>
          </w:p>
          <w:p w14:paraId="208C18E6">
            <w:pPr>
              <w:spacing w:line="360" w:lineRule="auto"/>
              <w:rPr>
                <w:rFonts w:ascii="宋体" w:hAnsi="宋体"/>
                <w:szCs w:val="24"/>
              </w:rPr>
            </w:pPr>
            <w:r>
              <w:rPr>
                <w:rFonts w:ascii="宋体" w:hAnsi="宋体"/>
                <w:szCs w:val="24"/>
              </w:rPr>
              <w:t>6、支持将检索查询的条件收藏为查询模版，支持查询模版创建、导入导出、删除功能，支持历史搜索记录功能。</w:t>
            </w:r>
          </w:p>
          <w:p w14:paraId="39A3F490">
            <w:pPr>
              <w:spacing w:line="360" w:lineRule="auto"/>
              <w:rPr>
                <w:rFonts w:ascii="宋体" w:hAnsi="宋体"/>
                <w:szCs w:val="24"/>
              </w:rPr>
            </w:pPr>
            <w:r>
              <w:rPr>
                <w:rFonts w:ascii="宋体" w:hAnsi="宋体"/>
                <w:szCs w:val="24"/>
              </w:rPr>
              <w:t>7、支持内置规则作为模板新建规则，支持调整规则等级，支持通过事件的任意字段制定规则创建策略，支持审计策略命中后可以定义告警并通过相应方式转发</w:t>
            </w:r>
          </w:p>
          <w:p w14:paraId="61EA1D50">
            <w:pPr>
              <w:spacing w:line="360" w:lineRule="auto"/>
              <w:rPr>
                <w:rFonts w:ascii="宋体" w:hAnsi="宋体"/>
                <w:szCs w:val="24"/>
              </w:rPr>
            </w:pPr>
            <w:r>
              <w:rPr>
                <w:rFonts w:ascii="宋体" w:hAnsi="宋体"/>
                <w:szCs w:val="24"/>
              </w:rPr>
              <w:t>8、支持对IPv4/ipv6对象的自动发现功能，对自动发现的设备可以修改、删除或转为资产。</w:t>
            </w:r>
          </w:p>
          <w:p w14:paraId="6D738091">
            <w:pPr>
              <w:spacing w:line="360" w:lineRule="auto"/>
              <w:rPr>
                <w:rFonts w:ascii="宋体" w:hAnsi="宋体"/>
                <w:szCs w:val="24"/>
              </w:rPr>
            </w:pPr>
            <w:r>
              <w:rPr>
                <w:rFonts w:ascii="宋体" w:hAnsi="宋体"/>
                <w:szCs w:val="24"/>
              </w:rPr>
              <w:t>9、支持单条事件进行展开，显示事件详细信息和事件原始信息，支持事件详情中任意字段作为查询条件无限制进行二次检索分析。</w:t>
            </w:r>
          </w:p>
          <w:p w14:paraId="03183A35">
            <w:pPr>
              <w:spacing w:line="360" w:lineRule="auto"/>
              <w:rPr>
                <w:rFonts w:ascii="宋体" w:hAnsi="宋体"/>
                <w:szCs w:val="24"/>
              </w:rPr>
            </w:pPr>
            <w:r>
              <w:rPr>
                <w:rFonts w:ascii="宋体" w:hAnsi="宋体"/>
                <w:szCs w:val="24"/>
              </w:rPr>
              <w:t>10、提供管理员账号创建、修改、删除，并可针对创建的管理员进行权限设置；支持IP免登录，指定IP免认证直接进入平台；支持只允许某些IP登录平台；支持页面权限配置和资产范围配置，用于管理账号权限，满足用户三权分立的需求</w:t>
            </w:r>
          </w:p>
          <w:p w14:paraId="03B9721D">
            <w:pPr>
              <w:spacing w:line="360" w:lineRule="auto"/>
              <w:rPr>
                <w:rFonts w:ascii="宋体" w:hAnsi="宋体"/>
                <w:szCs w:val="24"/>
              </w:rPr>
            </w:pPr>
            <w:r>
              <w:rPr>
                <w:rFonts w:ascii="宋体" w:hAnsi="宋体"/>
                <w:szCs w:val="24"/>
              </w:rPr>
              <w:t>11、支持网络连通性测试工具，至少支持ping、telnet两种拨测方法；</w:t>
            </w:r>
          </w:p>
        </w:tc>
      </w:tr>
    </w:tbl>
    <w:p w14:paraId="30527F98"/>
    <w:p w14:paraId="3ED67D3B">
      <w:pPr>
        <w:pStyle w:val="4"/>
        <w:numPr>
          <w:ilvl w:val="0"/>
          <w:numId w:val="0"/>
        </w:num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16、态势感知探针</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6910"/>
      </w:tblGrid>
      <w:tr w14:paraId="02B9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2F2C6091">
            <w:pPr>
              <w:widowControl/>
              <w:spacing w:line="360" w:lineRule="auto"/>
              <w:jc w:val="center"/>
              <w:rPr>
                <w:rFonts w:ascii="宋体" w:hAnsi="宋体"/>
                <w:b/>
                <w:szCs w:val="24"/>
              </w:rPr>
            </w:pPr>
            <w:r>
              <w:rPr>
                <w:rFonts w:hint="eastAsia" w:ascii="宋体" w:hAnsi="宋体"/>
                <w:b/>
                <w:szCs w:val="24"/>
              </w:rPr>
              <w:t>指标项</w:t>
            </w:r>
          </w:p>
        </w:tc>
        <w:tc>
          <w:tcPr>
            <w:tcW w:w="6727"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548162D5">
            <w:pPr>
              <w:widowControl/>
              <w:spacing w:line="360" w:lineRule="auto"/>
              <w:jc w:val="center"/>
              <w:rPr>
                <w:rFonts w:ascii="宋体" w:hAnsi="宋体" w:cs="宋体"/>
                <w:b/>
                <w:kern w:val="0"/>
                <w:szCs w:val="24"/>
              </w:rPr>
            </w:pPr>
            <w:r>
              <w:rPr>
                <w:rFonts w:hint="eastAsia" w:ascii="宋体" w:hAnsi="宋体"/>
                <w:b/>
                <w:szCs w:val="24"/>
              </w:rPr>
              <w:t>指标要求</w:t>
            </w:r>
          </w:p>
        </w:tc>
      </w:tr>
      <w:tr w14:paraId="4A1F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vAlign w:val="center"/>
          </w:tcPr>
          <w:p w14:paraId="1C10DE52">
            <w:pPr>
              <w:spacing w:line="360" w:lineRule="auto"/>
              <w:jc w:val="center"/>
              <w:rPr>
                <w:rFonts w:ascii="宋体" w:hAnsi="宋体"/>
                <w:b/>
                <w:bCs/>
                <w:szCs w:val="24"/>
              </w:rPr>
            </w:pPr>
            <w:r>
              <w:rPr>
                <w:rFonts w:hint="eastAsia" w:ascii="宋体" w:hAnsi="宋体"/>
                <w:b/>
                <w:bCs/>
                <w:szCs w:val="24"/>
              </w:rPr>
              <w:t>配置要求</w:t>
            </w:r>
          </w:p>
        </w:tc>
        <w:tc>
          <w:tcPr>
            <w:tcW w:w="6727" w:type="dxa"/>
            <w:tcBorders>
              <w:top w:val="single" w:color="auto" w:sz="4" w:space="0"/>
              <w:left w:val="single" w:color="auto" w:sz="4" w:space="0"/>
              <w:bottom w:val="single" w:color="auto" w:sz="4" w:space="0"/>
              <w:right w:val="single" w:color="auto" w:sz="4" w:space="0"/>
            </w:tcBorders>
            <w:vAlign w:val="center"/>
          </w:tcPr>
          <w:p w14:paraId="25C23DA2">
            <w:pPr>
              <w:spacing w:line="360" w:lineRule="auto"/>
              <w:rPr>
                <w:rFonts w:ascii="宋体" w:hAnsi="宋体"/>
                <w:szCs w:val="24"/>
              </w:rPr>
            </w:pPr>
            <w:r>
              <w:rPr>
                <w:rFonts w:ascii="宋体" w:hAnsi="宋体"/>
                <w:szCs w:val="24"/>
              </w:rPr>
              <w:t>1、★性能参数：网络层吞吐量≥1Gbps，应用层吞吐量≥500Mbps。千兆电口≥6个，千兆光口≥4个</w:t>
            </w:r>
          </w:p>
          <w:p w14:paraId="27C33D1B">
            <w:pPr>
              <w:spacing w:line="360" w:lineRule="auto"/>
              <w:rPr>
                <w:rFonts w:ascii="宋体" w:hAnsi="宋体"/>
                <w:szCs w:val="24"/>
              </w:rPr>
            </w:pPr>
            <w:r>
              <w:rPr>
                <w:rFonts w:ascii="宋体" w:hAnsi="宋体"/>
                <w:szCs w:val="24"/>
              </w:rPr>
              <w:t>2、支持通过规则ID、名称、攻击影响、危险等级、字符串、正则表达式及匹配方向来自定义web应用检测规则库、自定义IPS规则库，支持自定义登录规则库。</w:t>
            </w:r>
          </w:p>
          <w:p w14:paraId="080BF2B4">
            <w:pPr>
              <w:spacing w:line="360" w:lineRule="auto"/>
              <w:rPr>
                <w:rFonts w:ascii="宋体" w:hAnsi="宋体"/>
                <w:szCs w:val="24"/>
              </w:rPr>
            </w:pPr>
            <w:r>
              <w:rPr>
                <w:rFonts w:ascii="宋体" w:hAnsi="宋体"/>
                <w:szCs w:val="24"/>
              </w:rPr>
              <w:t>3、支持自动识别内网的服务器及其开放的服务与端口，支持以列表形式显示资产IP、提供的服务及其开放的端口、设备类型、操作系统等信息。</w:t>
            </w:r>
          </w:p>
          <w:p w14:paraId="4D6A9837">
            <w:pPr>
              <w:spacing w:line="360" w:lineRule="auto"/>
              <w:rPr>
                <w:rFonts w:ascii="宋体" w:hAnsi="宋体"/>
                <w:szCs w:val="24"/>
              </w:rPr>
            </w:pPr>
            <w:r>
              <w:rPr>
                <w:rFonts w:ascii="宋体" w:hAnsi="宋体"/>
                <w:szCs w:val="24"/>
              </w:rPr>
              <w:t>4、支持IP，IP组，服务，访问时间等定义违规访问策略，主动建立针对性的业务和应用访问逻辑规则，针对目标IP（组）已开放的服务，白名单策略只允许白名单里的IP（组）在指定的时间内访问，其他时间或其他IP的访问均被视为违规，黑名单策略禁止黑名单里的IP（组）在指定的时间内访问，否则将被视为违规。</w:t>
            </w:r>
          </w:p>
          <w:p w14:paraId="0D5E51FF">
            <w:pPr>
              <w:spacing w:line="360" w:lineRule="auto"/>
              <w:rPr>
                <w:rFonts w:ascii="宋体" w:hAnsi="宋体"/>
                <w:szCs w:val="24"/>
              </w:rPr>
            </w:pPr>
            <w:r>
              <w:rPr>
                <w:rFonts w:ascii="宋体" w:hAnsi="宋体"/>
                <w:szCs w:val="24"/>
              </w:rPr>
              <w:t>5、支持SQL注入、XSS攻击、网页木马、网站扫描、WEBSHELL、跨站请求伪造、系统命令注入、文件包含攻击、目录遍历攻击、信息泄露攻击、Web整站系统漏洞、自定义WAF规则、WAF云防护等网站攻击检测</w:t>
            </w:r>
          </w:p>
          <w:p w14:paraId="767C5935">
            <w:pPr>
              <w:spacing w:line="360" w:lineRule="auto"/>
              <w:rPr>
                <w:rFonts w:ascii="宋体" w:hAnsi="宋体"/>
                <w:szCs w:val="24"/>
              </w:rPr>
            </w:pPr>
            <w:r>
              <w:rPr>
                <w:rFonts w:ascii="宋体" w:hAnsi="宋体"/>
                <w:szCs w:val="24"/>
              </w:rPr>
              <w:t>6、支持通过白流量过滤的方式，过滤安全网站访问，提升性能。</w:t>
            </w:r>
          </w:p>
          <w:p w14:paraId="1B774197">
            <w:pPr>
              <w:spacing w:line="360" w:lineRule="auto"/>
              <w:rPr>
                <w:rFonts w:ascii="宋体" w:hAnsi="宋体"/>
                <w:szCs w:val="24"/>
              </w:rPr>
            </w:pPr>
            <w:r>
              <w:rPr>
                <w:rFonts w:ascii="宋体" w:hAnsi="宋体"/>
                <w:szCs w:val="24"/>
              </w:rPr>
              <w:t>7、支持HTTP未知站点下载可执行文件、浏览最近30天注册域名、浏览恶意动态域名、访问随机算法生成域名、暴力破解攻击、反弹连接、IRC通信等僵尸网络行为检测。</w:t>
            </w:r>
          </w:p>
          <w:p w14:paraId="4E2DB254">
            <w:pPr>
              <w:spacing w:line="360" w:lineRule="auto"/>
              <w:rPr>
                <w:rFonts w:ascii="宋体" w:hAnsi="宋体"/>
                <w:szCs w:val="24"/>
              </w:rPr>
            </w:pPr>
            <w:r>
              <w:rPr>
                <w:rFonts w:ascii="宋体" w:hAnsi="宋体"/>
                <w:szCs w:val="24"/>
              </w:rPr>
              <w:t>8、支持基于IP和域名的旁路阻断，能够在实时镜像的流量中发现恶意IP并实现实时阻断，支持24小时/7天/最近30天/永久或者自定义时间阻断威胁</w:t>
            </w:r>
          </w:p>
        </w:tc>
      </w:tr>
    </w:tbl>
    <w:p w14:paraId="2C687E3D"/>
    <w:p w14:paraId="458F0CC9">
      <w:pPr>
        <w:pStyle w:val="4"/>
        <w:numPr>
          <w:ilvl w:val="0"/>
          <w:numId w:val="0"/>
        </w:num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17、Web防火墙</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6910"/>
      </w:tblGrid>
      <w:tr w14:paraId="731F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2DEEF3D8">
            <w:pPr>
              <w:widowControl/>
              <w:spacing w:line="360" w:lineRule="auto"/>
              <w:jc w:val="center"/>
              <w:rPr>
                <w:rFonts w:ascii="宋体" w:hAnsi="宋体"/>
                <w:b/>
                <w:szCs w:val="24"/>
              </w:rPr>
            </w:pPr>
            <w:r>
              <w:rPr>
                <w:rFonts w:hint="eastAsia" w:ascii="宋体" w:hAnsi="宋体"/>
                <w:b/>
                <w:szCs w:val="24"/>
              </w:rPr>
              <w:t>指标项</w:t>
            </w:r>
          </w:p>
        </w:tc>
        <w:tc>
          <w:tcPr>
            <w:tcW w:w="6727"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430D5FC3">
            <w:pPr>
              <w:widowControl/>
              <w:spacing w:line="360" w:lineRule="auto"/>
              <w:jc w:val="center"/>
              <w:rPr>
                <w:rFonts w:ascii="宋体" w:hAnsi="宋体" w:cs="宋体"/>
                <w:b/>
                <w:kern w:val="0"/>
                <w:szCs w:val="24"/>
              </w:rPr>
            </w:pPr>
            <w:r>
              <w:rPr>
                <w:rFonts w:hint="eastAsia" w:ascii="宋体" w:hAnsi="宋体"/>
                <w:b/>
                <w:szCs w:val="24"/>
              </w:rPr>
              <w:t>指标要求</w:t>
            </w:r>
          </w:p>
        </w:tc>
      </w:tr>
      <w:tr w14:paraId="5F6F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vAlign w:val="center"/>
          </w:tcPr>
          <w:p w14:paraId="1F8FB0EF">
            <w:pPr>
              <w:spacing w:line="360" w:lineRule="auto"/>
              <w:jc w:val="center"/>
              <w:rPr>
                <w:rFonts w:ascii="宋体" w:hAnsi="宋体"/>
                <w:b/>
                <w:bCs/>
                <w:szCs w:val="24"/>
              </w:rPr>
            </w:pPr>
            <w:r>
              <w:rPr>
                <w:rFonts w:hint="eastAsia" w:ascii="宋体" w:hAnsi="宋体"/>
                <w:b/>
                <w:bCs/>
                <w:szCs w:val="24"/>
              </w:rPr>
              <w:t>配置要求</w:t>
            </w:r>
          </w:p>
        </w:tc>
        <w:tc>
          <w:tcPr>
            <w:tcW w:w="6727" w:type="dxa"/>
            <w:tcBorders>
              <w:top w:val="single" w:color="auto" w:sz="4" w:space="0"/>
              <w:left w:val="single" w:color="auto" w:sz="4" w:space="0"/>
              <w:bottom w:val="single" w:color="auto" w:sz="4" w:space="0"/>
              <w:right w:val="single" w:color="auto" w:sz="4" w:space="0"/>
            </w:tcBorders>
            <w:vAlign w:val="center"/>
          </w:tcPr>
          <w:p w14:paraId="1E3A611A">
            <w:pPr>
              <w:spacing w:line="360" w:lineRule="auto"/>
              <w:rPr>
                <w:rFonts w:ascii="宋体" w:hAnsi="宋体"/>
                <w:szCs w:val="24"/>
              </w:rPr>
            </w:pPr>
            <w:r>
              <w:rPr>
                <w:rFonts w:ascii="宋体" w:hAnsi="宋体"/>
                <w:szCs w:val="24"/>
              </w:rPr>
              <w:t>1、★产品CPU符合安全可靠测评公告要求，网络层吞吐量≥20G</w:t>
            </w:r>
            <w:r>
              <w:rPr>
                <w:rFonts w:hint="eastAsia" w:ascii="宋体" w:hAnsi="宋体"/>
                <w:szCs w:val="24"/>
              </w:rPr>
              <w:t>，</w:t>
            </w:r>
            <w:r>
              <w:rPr>
                <w:rFonts w:ascii="宋体" w:hAnsi="宋体"/>
                <w:szCs w:val="24"/>
              </w:rPr>
              <w:t>千兆电口≥6个，万兆光口≥2个。</w:t>
            </w:r>
          </w:p>
          <w:p w14:paraId="40ABDD0A">
            <w:pPr>
              <w:spacing w:line="360" w:lineRule="auto"/>
              <w:rPr>
                <w:rFonts w:ascii="宋体" w:hAnsi="宋体"/>
                <w:szCs w:val="24"/>
              </w:rPr>
            </w:pPr>
            <w:r>
              <w:rPr>
                <w:rFonts w:ascii="宋体" w:hAnsi="宋体"/>
                <w:szCs w:val="24"/>
              </w:rPr>
              <w:t>2、支持路由模式、透明模式、虚拟网线模式、旁路镜像模式等多种部署方式。</w:t>
            </w:r>
          </w:p>
          <w:p w14:paraId="1C4BA41F">
            <w:pPr>
              <w:spacing w:line="360" w:lineRule="auto"/>
              <w:rPr>
                <w:rFonts w:ascii="宋体" w:hAnsi="宋体"/>
                <w:szCs w:val="24"/>
              </w:rPr>
            </w:pPr>
            <w:r>
              <w:rPr>
                <w:rFonts w:ascii="宋体" w:hAnsi="宋体"/>
                <w:szCs w:val="24"/>
              </w:rPr>
              <w:t>3、支持静态路由、策略路由和多播路由协议。</w:t>
            </w:r>
          </w:p>
          <w:p w14:paraId="1CE40AC9">
            <w:pPr>
              <w:spacing w:line="360" w:lineRule="auto"/>
              <w:rPr>
                <w:rFonts w:ascii="宋体" w:hAnsi="宋体"/>
                <w:szCs w:val="24"/>
              </w:rPr>
            </w:pPr>
            <w:r>
              <w:rPr>
                <w:rFonts w:ascii="宋体" w:hAnsi="宋体"/>
                <w:szCs w:val="24"/>
              </w:rPr>
              <w:t>4、支持对跨站脚本（XSS）攻击、SQL注入、文件包含攻击、信息泄露攻击、WEBSHELL、网站扫描、网页木马等攻击类型进行防护</w:t>
            </w:r>
          </w:p>
          <w:p w14:paraId="737E8C78">
            <w:pPr>
              <w:spacing w:line="360" w:lineRule="auto"/>
              <w:rPr>
                <w:rFonts w:ascii="宋体" w:hAnsi="宋体"/>
                <w:szCs w:val="24"/>
              </w:rPr>
            </w:pPr>
            <w:r>
              <w:rPr>
                <w:rFonts w:ascii="宋体" w:hAnsi="宋体"/>
                <w:szCs w:val="24"/>
              </w:rPr>
              <w:t>5、支持Cookie攻击防护功能，并通过日志记录Cookie被篡改。</w:t>
            </w:r>
          </w:p>
          <w:p w14:paraId="58DFD46C">
            <w:pPr>
              <w:spacing w:line="360" w:lineRule="auto"/>
              <w:rPr>
                <w:rFonts w:ascii="宋体" w:hAnsi="宋体"/>
                <w:szCs w:val="24"/>
              </w:rPr>
            </w:pPr>
            <w:r>
              <w:rPr>
                <w:rFonts w:ascii="宋体" w:hAnsi="宋体"/>
                <w:szCs w:val="24"/>
              </w:rPr>
              <w:t>6、支持异常数据包攻击防御，防护类型包括IP数据块分片传输防护、Teardrop攻击防护、Smurf攻击防护、Land攻击防护、WinNuke攻击防护等攻击类型</w:t>
            </w:r>
          </w:p>
          <w:p w14:paraId="1DE524C1">
            <w:pPr>
              <w:spacing w:line="360" w:lineRule="auto"/>
              <w:rPr>
                <w:rFonts w:ascii="宋体" w:hAnsi="宋体"/>
                <w:szCs w:val="24"/>
              </w:rPr>
            </w:pPr>
            <w:r>
              <w:rPr>
                <w:rFonts w:ascii="宋体" w:hAnsi="宋体"/>
                <w:szCs w:val="24"/>
              </w:rPr>
              <w:t>7、支持服务器漏洞防扫描功能，并对扫描源IP进行日志记录和联动封锁。</w:t>
            </w:r>
          </w:p>
          <w:p w14:paraId="7ABFBAB4">
            <w:pPr>
              <w:spacing w:line="360" w:lineRule="auto"/>
              <w:rPr>
                <w:rFonts w:ascii="宋体" w:hAnsi="宋体"/>
                <w:szCs w:val="24"/>
              </w:rPr>
            </w:pPr>
            <w:r>
              <w:rPr>
                <w:rFonts w:ascii="宋体" w:hAnsi="宋体"/>
                <w:szCs w:val="24"/>
              </w:rPr>
              <w:t>8、支持杀毒白名单设置，可以例外排除特定MD5和URL的病毒文件，针对特定文件不进行查杀。</w:t>
            </w:r>
          </w:p>
          <w:p w14:paraId="286A8D3E">
            <w:pPr>
              <w:spacing w:line="360" w:lineRule="auto"/>
              <w:rPr>
                <w:rFonts w:ascii="宋体" w:hAnsi="宋体"/>
                <w:szCs w:val="24"/>
              </w:rPr>
            </w:pPr>
            <w:r>
              <w:rPr>
                <w:rFonts w:ascii="宋体" w:hAnsi="宋体"/>
                <w:szCs w:val="24"/>
              </w:rPr>
              <w:t>9、支持X-Forworded-For字段检测，并对非法源IP进行日志记录和联动封锁</w:t>
            </w:r>
          </w:p>
          <w:p w14:paraId="1AB9551F">
            <w:pPr>
              <w:spacing w:line="360" w:lineRule="auto"/>
              <w:rPr>
                <w:rFonts w:ascii="宋体" w:hAnsi="宋体"/>
                <w:szCs w:val="24"/>
              </w:rPr>
            </w:pPr>
            <w:r>
              <w:rPr>
                <w:rFonts w:ascii="宋体" w:hAnsi="宋体"/>
                <w:szCs w:val="24"/>
              </w:rPr>
              <w:t>10、为满足用户不同登录需求，产品支持管理员双因素认证功能，用户通过用户名/密码和Key等不同方式登陆产品管理界面。</w:t>
            </w:r>
          </w:p>
          <w:p w14:paraId="530358AF">
            <w:pPr>
              <w:spacing w:line="360" w:lineRule="auto"/>
              <w:rPr>
                <w:rFonts w:ascii="宋体" w:hAnsi="宋体"/>
                <w:szCs w:val="24"/>
              </w:rPr>
            </w:pPr>
            <w:r>
              <w:rPr>
                <w:rFonts w:ascii="宋体" w:hAnsi="宋体"/>
                <w:szCs w:val="24"/>
              </w:rPr>
              <w:t>11、支持带外管理，保障管理网络和业务网络相互隔离</w:t>
            </w:r>
          </w:p>
          <w:p w14:paraId="66838AC7">
            <w:pPr>
              <w:spacing w:line="360" w:lineRule="auto"/>
              <w:rPr>
                <w:rFonts w:ascii="宋体" w:hAnsi="宋体"/>
                <w:szCs w:val="24"/>
              </w:rPr>
            </w:pPr>
            <w:r>
              <w:rPr>
                <w:rFonts w:ascii="宋体" w:hAnsi="宋体"/>
                <w:szCs w:val="24"/>
              </w:rPr>
              <w:t>12、支持三权分立功能，根据管理员权限分为安全管理员、审计员、系统管理员三种角色</w:t>
            </w:r>
          </w:p>
        </w:tc>
      </w:tr>
    </w:tbl>
    <w:p w14:paraId="094A1D49"/>
    <w:p w14:paraId="1BEA5862">
      <w:pPr>
        <w:pStyle w:val="4"/>
        <w:numPr>
          <w:ilvl w:val="0"/>
          <w:numId w:val="0"/>
        </w:num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18、系统集成</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6910"/>
      </w:tblGrid>
      <w:tr w14:paraId="40BD9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shd w:val="clear" w:color="auto" w:fill="D0CECE" w:themeFill="background2" w:themeFillShade="E6"/>
            <w:vAlign w:val="center"/>
          </w:tcPr>
          <w:p w14:paraId="4CCE3272">
            <w:pPr>
              <w:widowControl/>
              <w:spacing w:line="360" w:lineRule="auto"/>
              <w:jc w:val="center"/>
              <w:rPr>
                <w:rFonts w:ascii="宋体" w:hAnsi="宋体"/>
                <w:b/>
                <w:szCs w:val="24"/>
              </w:rPr>
            </w:pPr>
            <w:r>
              <w:rPr>
                <w:rFonts w:hint="eastAsia" w:ascii="宋体" w:hAnsi="宋体"/>
                <w:b/>
                <w:szCs w:val="24"/>
              </w:rPr>
              <w:t>指标项</w:t>
            </w:r>
          </w:p>
        </w:tc>
        <w:tc>
          <w:tcPr>
            <w:tcW w:w="6727" w:type="dxa"/>
            <w:shd w:val="clear" w:color="auto" w:fill="D0CECE" w:themeFill="background2" w:themeFillShade="E6"/>
            <w:vAlign w:val="center"/>
          </w:tcPr>
          <w:p w14:paraId="1D72308F">
            <w:pPr>
              <w:widowControl/>
              <w:spacing w:line="360" w:lineRule="auto"/>
              <w:jc w:val="center"/>
              <w:rPr>
                <w:rFonts w:ascii="宋体" w:hAnsi="宋体" w:cs="宋体"/>
                <w:b/>
                <w:kern w:val="0"/>
                <w:szCs w:val="24"/>
              </w:rPr>
            </w:pPr>
            <w:r>
              <w:rPr>
                <w:rFonts w:hint="eastAsia" w:ascii="宋体" w:hAnsi="宋体"/>
                <w:b/>
                <w:szCs w:val="24"/>
              </w:rPr>
              <w:t>指标要求</w:t>
            </w:r>
          </w:p>
        </w:tc>
      </w:tr>
      <w:tr w14:paraId="00A9B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shd w:val="clear" w:color="auto" w:fill="auto"/>
            <w:vAlign w:val="center"/>
          </w:tcPr>
          <w:p w14:paraId="451901E8">
            <w:pPr>
              <w:spacing w:line="360" w:lineRule="auto"/>
              <w:jc w:val="center"/>
              <w:rPr>
                <w:rFonts w:ascii="宋体" w:hAnsi="宋体"/>
                <w:b/>
                <w:bCs/>
                <w:szCs w:val="24"/>
              </w:rPr>
            </w:pPr>
            <w:r>
              <w:rPr>
                <w:rFonts w:hint="eastAsia" w:ascii="宋体" w:hAnsi="宋体"/>
                <w:szCs w:val="24"/>
              </w:rPr>
              <w:t>基础设备安装调试</w:t>
            </w:r>
          </w:p>
        </w:tc>
        <w:tc>
          <w:tcPr>
            <w:tcW w:w="6727" w:type="dxa"/>
            <w:shd w:val="clear" w:color="auto" w:fill="auto"/>
            <w:vAlign w:val="center"/>
          </w:tcPr>
          <w:p w14:paraId="6B6AF0ED">
            <w:pPr>
              <w:spacing w:line="360" w:lineRule="auto"/>
              <w:rPr>
                <w:rFonts w:ascii="宋体" w:hAnsi="宋体"/>
                <w:szCs w:val="24"/>
              </w:rPr>
            </w:pPr>
            <w:r>
              <w:rPr>
                <w:rFonts w:hint="eastAsia" w:ascii="宋体" w:hAnsi="宋体"/>
                <w:szCs w:val="24"/>
              </w:rPr>
              <w:t>1、机房内空间机柜空间梳理、新设备空间规划</w:t>
            </w:r>
            <w:r>
              <w:rPr>
                <w:rFonts w:hint="eastAsia" w:ascii="宋体" w:hAnsi="宋体"/>
                <w:szCs w:val="24"/>
              </w:rPr>
              <w:br w:type="textWrapping"/>
            </w:r>
            <w:r>
              <w:rPr>
                <w:rFonts w:hint="eastAsia" w:ascii="宋体" w:hAnsi="宋体"/>
                <w:szCs w:val="24"/>
              </w:rPr>
              <w:t>2、服务器、存储、网络、安全设备 上架、加电测试</w:t>
            </w:r>
            <w:r>
              <w:rPr>
                <w:rFonts w:hint="eastAsia" w:ascii="宋体" w:hAnsi="宋体"/>
                <w:szCs w:val="24"/>
              </w:rPr>
              <w:br w:type="textWrapping"/>
            </w:r>
            <w:r>
              <w:rPr>
                <w:rFonts w:hint="eastAsia" w:ascii="宋体" w:hAnsi="宋体"/>
                <w:szCs w:val="24"/>
              </w:rPr>
              <w:t>3、设备 接入网络并进行网络联通测试</w:t>
            </w:r>
          </w:p>
        </w:tc>
      </w:tr>
      <w:tr w14:paraId="2A7C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shd w:val="clear" w:color="auto" w:fill="auto"/>
            <w:vAlign w:val="center"/>
          </w:tcPr>
          <w:p w14:paraId="2F656DAE">
            <w:pPr>
              <w:spacing w:line="360" w:lineRule="auto"/>
              <w:jc w:val="center"/>
              <w:rPr>
                <w:rFonts w:ascii="宋体" w:hAnsi="宋体"/>
                <w:b/>
                <w:bCs/>
                <w:szCs w:val="24"/>
              </w:rPr>
            </w:pPr>
            <w:r>
              <w:rPr>
                <w:rFonts w:hint="eastAsia" w:ascii="宋体" w:hAnsi="宋体"/>
                <w:szCs w:val="24"/>
              </w:rPr>
              <w:t>实施方案及项目文档管理</w:t>
            </w:r>
          </w:p>
        </w:tc>
        <w:tc>
          <w:tcPr>
            <w:tcW w:w="6727" w:type="dxa"/>
            <w:shd w:val="clear" w:color="auto" w:fill="auto"/>
            <w:vAlign w:val="center"/>
          </w:tcPr>
          <w:p w14:paraId="612D860C">
            <w:pPr>
              <w:spacing w:line="360" w:lineRule="auto"/>
              <w:rPr>
                <w:rFonts w:ascii="宋体" w:hAnsi="宋体"/>
                <w:szCs w:val="24"/>
              </w:rPr>
            </w:pPr>
            <w:r>
              <w:rPr>
                <w:rFonts w:hint="eastAsia" w:ascii="宋体" w:hAnsi="宋体"/>
                <w:szCs w:val="24"/>
              </w:rPr>
              <w:t>一、实施方案设计</w:t>
            </w:r>
            <w:r>
              <w:rPr>
                <w:rFonts w:hint="eastAsia" w:ascii="宋体" w:hAnsi="宋体"/>
                <w:szCs w:val="24"/>
              </w:rPr>
              <w:br w:type="textWrapping"/>
            </w:r>
            <w:r>
              <w:rPr>
                <w:rFonts w:hint="eastAsia" w:ascii="宋体" w:hAnsi="宋体"/>
                <w:szCs w:val="24"/>
              </w:rPr>
              <w:t>1、业务部署硬件架构审核；2、业务主机资源设计，计算资源、存储资源、主机类型、数量、部署模式；3、核心数据库部署架构设计，双活模式、主备模式、多副本模式；4、核心数据库备份容灾设计；</w:t>
            </w:r>
            <w:r>
              <w:rPr>
                <w:rFonts w:hint="eastAsia" w:ascii="宋体" w:hAnsi="宋体"/>
                <w:szCs w:val="24"/>
              </w:rPr>
              <w:br w:type="textWrapping"/>
            </w:r>
            <w:r>
              <w:rPr>
                <w:rFonts w:hint="eastAsia" w:ascii="宋体" w:hAnsi="宋体"/>
                <w:szCs w:val="24"/>
              </w:rPr>
              <w:t>二、项目文档管理</w:t>
            </w:r>
            <w:r>
              <w:rPr>
                <w:rFonts w:hint="eastAsia" w:ascii="宋体" w:hAnsi="宋体"/>
                <w:szCs w:val="24"/>
              </w:rPr>
              <w:br w:type="textWrapping"/>
            </w:r>
            <w:r>
              <w:rPr>
                <w:rFonts w:hint="eastAsia" w:ascii="宋体" w:hAnsi="宋体"/>
                <w:szCs w:val="24"/>
              </w:rPr>
              <w:t>1、项目管理文档，《项目启动汇报》、《项目会议纪要》等；2、项目实施文档，《项目实施计划》、《项目变更控制单》《进度报告、问题跟踪表》、《上线评估报告》、《系统切换方案》等；3、项目验收培训文档，《项目初验申请表》、《项目验收报告》、《项目培训报告》等； 4、关键技术文档，《集群有效性测试报告》、《容灾切换测试报告》、《性能测试报告》等；</w:t>
            </w:r>
          </w:p>
        </w:tc>
      </w:tr>
      <w:tr w14:paraId="6310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shd w:val="clear" w:color="auto" w:fill="auto"/>
            <w:vAlign w:val="center"/>
          </w:tcPr>
          <w:p w14:paraId="3B08D3A7">
            <w:pPr>
              <w:spacing w:line="360" w:lineRule="auto"/>
              <w:jc w:val="center"/>
              <w:rPr>
                <w:rFonts w:ascii="宋体" w:hAnsi="宋体"/>
                <w:b/>
                <w:bCs/>
                <w:szCs w:val="24"/>
              </w:rPr>
            </w:pPr>
            <w:r>
              <w:rPr>
                <w:rFonts w:hint="eastAsia" w:ascii="宋体" w:hAnsi="宋体"/>
                <w:szCs w:val="24"/>
              </w:rPr>
              <w:t>虚拟化实施</w:t>
            </w:r>
          </w:p>
        </w:tc>
        <w:tc>
          <w:tcPr>
            <w:tcW w:w="6727" w:type="dxa"/>
            <w:shd w:val="clear" w:color="auto" w:fill="auto"/>
            <w:vAlign w:val="center"/>
          </w:tcPr>
          <w:p w14:paraId="5CAC8FAC">
            <w:pPr>
              <w:spacing w:line="360" w:lineRule="auto"/>
              <w:rPr>
                <w:rFonts w:ascii="宋体" w:hAnsi="宋体"/>
                <w:szCs w:val="24"/>
              </w:rPr>
            </w:pPr>
            <w:r>
              <w:rPr>
                <w:rFonts w:hint="eastAsia" w:ascii="宋体" w:hAnsi="宋体"/>
                <w:szCs w:val="24"/>
              </w:rPr>
              <w:t>1、节点初始化：</w:t>
            </w:r>
            <w:r>
              <w:rPr>
                <w:rFonts w:hint="eastAsia" w:ascii="宋体" w:hAnsi="宋体"/>
                <w:szCs w:val="24"/>
              </w:rPr>
              <w:br w:type="textWrapping"/>
            </w:r>
            <w:r>
              <w:rPr>
                <w:rFonts w:hint="eastAsia" w:ascii="宋体" w:hAnsi="宋体"/>
                <w:szCs w:val="24"/>
              </w:rPr>
              <w:t xml:space="preserve">   安装超融合软件。</w:t>
            </w:r>
            <w:r>
              <w:rPr>
                <w:rFonts w:hint="eastAsia" w:ascii="宋体" w:hAnsi="宋体"/>
                <w:szCs w:val="24"/>
              </w:rPr>
              <w:br w:type="textWrapping"/>
            </w:r>
            <w:r>
              <w:rPr>
                <w:rFonts w:hint="eastAsia" w:ascii="宋体" w:hAnsi="宋体"/>
                <w:szCs w:val="24"/>
              </w:rPr>
              <w:t xml:space="preserve">   配置分布式存储（副本策略：RF2/RF3）。</w:t>
            </w:r>
            <w:r>
              <w:rPr>
                <w:rFonts w:hint="eastAsia" w:ascii="宋体" w:hAnsi="宋体"/>
                <w:szCs w:val="24"/>
              </w:rPr>
              <w:br w:type="textWrapping"/>
            </w:r>
            <w:r>
              <w:rPr>
                <w:rFonts w:hint="eastAsia" w:ascii="宋体" w:hAnsi="宋体"/>
                <w:szCs w:val="24"/>
              </w:rPr>
              <w:t>2、网络优化：</w:t>
            </w:r>
            <w:r>
              <w:rPr>
                <w:rFonts w:hint="eastAsia" w:ascii="宋体" w:hAnsi="宋体"/>
                <w:szCs w:val="24"/>
              </w:rPr>
              <w:br w:type="textWrapping"/>
            </w:r>
            <w:r>
              <w:rPr>
                <w:rFonts w:hint="eastAsia" w:ascii="宋体" w:hAnsi="宋体"/>
                <w:szCs w:val="24"/>
              </w:rPr>
              <w:t xml:space="preserve">   分离管理流量、存储流量、VM流量（VLAN划分）。</w:t>
            </w:r>
            <w:r>
              <w:rPr>
                <w:rFonts w:hint="eastAsia" w:ascii="宋体" w:hAnsi="宋体"/>
                <w:szCs w:val="24"/>
              </w:rPr>
              <w:br w:type="textWrapping"/>
            </w:r>
            <w:r>
              <w:rPr>
                <w:rFonts w:hint="eastAsia" w:ascii="宋体" w:hAnsi="宋体"/>
                <w:szCs w:val="24"/>
              </w:rPr>
              <w:t xml:space="preserve">   启用RDMA（RoCE/InfiniBand）加速存储性能。</w:t>
            </w:r>
            <w:r>
              <w:rPr>
                <w:rFonts w:hint="eastAsia" w:ascii="宋体" w:hAnsi="宋体"/>
                <w:szCs w:val="24"/>
              </w:rPr>
              <w:br w:type="textWrapping"/>
            </w:r>
            <w:r>
              <w:rPr>
                <w:rFonts w:hint="eastAsia" w:ascii="宋体" w:hAnsi="宋体"/>
                <w:szCs w:val="24"/>
              </w:rPr>
              <w:t>3、弹性扩展：</w:t>
            </w:r>
            <w:r>
              <w:rPr>
                <w:rFonts w:hint="eastAsia" w:ascii="宋体" w:hAnsi="宋体"/>
                <w:szCs w:val="24"/>
              </w:rPr>
              <w:br w:type="textWrapping"/>
            </w:r>
            <w:r>
              <w:rPr>
                <w:rFonts w:hint="eastAsia" w:ascii="宋体" w:hAnsi="宋体"/>
                <w:szCs w:val="24"/>
              </w:rPr>
              <w:t xml:space="preserve">   添加新节点验证自动数据均衡。</w:t>
            </w:r>
            <w:r>
              <w:rPr>
                <w:rFonts w:hint="eastAsia" w:ascii="宋体" w:hAnsi="宋体"/>
                <w:szCs w:val="24"/>
              </w:rPr>
              <w:br w:type="textWrapping"/>
            </w:r>
            <w:r>
              <w:rPr>
                <w:rFonts w:hint="eastAsia" w:ascii="宋体" w:hAnsi="宋体"/>
                <w:szCs w:val="24"/>
              </w:rPr>
              <w:t xml:space="preserve">   测试存储策略动态调整（如从RF2迁移至RF3）。</w:t>
            </w:r>
            <w:r>
              <w:rPr>
                <w:rFonts w:hint="eastAsia" w:ascii="宋体" w:hAnsi="宋体"/>
                <w:szCs w:val="24"/>
              </w:rPr>
              <w:br w:type="textWrapping"/>
            </w:r>
            <w:r>
              <w:rPr>
                <w:rFonts w:hint="eastAsia" w:ascii="宋体" w:hAnsi="宋体"/>
                <w:szCs w:val="24"/>
              </w:rPr>
              <w:t>4、全局管理：</w:t>
            </w:r>
            <w:r>
              <w:rPr>
                <w:rFonts w:hint="eastAsia" w:ascii="宋体" w:hAnsi="宋体"/>
                <w:szCs w:val="24"/>
              </w:rPr>
              <w:br w:type="textWrapping"/>
            </w:r>
            <w:r>
              <w:rPr>
                <w:rFonts w:hint="eastAsia" w:ascii="宋体" w:hAnsi="宋体"/>
                <w:szCs w:val="24"/>
              </w:rPr>
              <w:t xml:space="preserve">   部署集中管理平台。</w:t>
            </w:r>
          </w:p>
        </w:tc>
      </w:tr>
      <w:tr w14:paraId="676F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shd w:val="clear" w:color="auto" w:fill="auto"/>
            <w:vAlign w:val="center"/>
          </w:tcPr>
          <w:p w14:paraId="114F0208">
            <w:pPr>
              <w:spacing w:line="360" w:lineRule="auto"/>
              <w:jc w:val="center"/>
              <w:rPr>
                <w:rFonts w:ascii="宋体" w:hAnsi="宋体"/>
                <w:b/>
                <w:bCs/>
                <w:szCs w:val="24"/>
              </w:rPr>
            </w:pPr>
            <w:r>
              <w:rPr>
                <w:rFonts w:hint="eastAsia" w:ascii="宋体" w:hAnsi="宋体"/>
                <w:szCs w:val="24"/>
              </w:rPr>
              <w:t>基础软件安装及安全加固</w:t>
            </w:r>
          </w:p>
        </w:tc>
        <w:tc>
          <w:tcPr>
            <w:tcW w:w="6727" w:type="dxa"/>
            <w:shd w:val="clear" w:color="auto" w:fill="auto"/>
            <w:vAlign w:val="center"/>
          </w:tcPr>
          <w:p w14:paraId="1F0D973E">
            <w:pPr>
              <w:spacing w:line="360" w:lineRule="auto"/>
              <w:rPr>
                <w:rFonts w:ascii="宋体" w:hAnsi="宋体"/>
                <w:szCs w:val="24"/>
              </w:rPr>
            </w:pPr>
            <w:r>
              <w:rPr>
                <w:rFonts w:hint="eastAsia" w:ascii="宋体" w:hAnsi="宋体"/>
                <w:szCs w:val="24"/>
              </w:rPr>
              <w:t>一、操作系统安装</w:t>
            </w:r>
            <w:r>
              <w:rPr>
                <w:rFonts w:hint="eastAsia" w:ascii="宋体" w:hAnsi="宋体"/>
                <w:szCs w:val="24"/>
              </w:rPr>
              <w:br w:type="textWrapping"/>
            </w:r>
            <w:r>
              <w:rPr>
                <w:rFonts w:hint="eastAsia" w:ascii="宋体" w:hAnsi="宋体"/>
                <w:szCs w:val="24"/>
              </w:rPr>
              <w:t>1、业务应用程序VM虚拟机操作系统安装；</w:t>
            </w:r>
            <w:r>
              <w:rPr>
                <w:rFonts w:hint="eastAsia" w:ascii="宋体" w:hAnsi="宋体"/>
                <w:szCs w:val="24"/>
              </w:rPr>
              <w:br w:type="textWrapping"/>
            </w:r>
            <w:r>
              <w:rPr>
                <w:rFonts w:hint="eastAsia" w:ascii="宋体" w:hAnsi="宋体"/>
                <w:szCs w:val="24"/>
              </w:rPr>
              <w:t>2、业务数据库物理机操作系统安装；</w:t>
            </w:r>
            <w:r>
              <w:rPr>
                <w:rFonts w:hint="eastAsia" w:ascii="宋体" w:hAnsi="宋体"/>
                <w:szCs w:val="24"/>
              </w:rPr>
              <w:br w:type="textWrapping"/>
            </w:r>
            <w:r>
              <w:rPr>
                <w:rFonts w:hint="eastAsia" w:ascii="宋体" w:hAnsi="宋体"/>
                <w:szCs w:val="24"/>
              </w:rPr>
              <w:t>3、测试环境操作系统安装；</w:t>
            </w:r>
            <w:r>
              <w:rPr>
                <w:rFonts w:hint="eastAsia" w:ascii="宋体" w:hAnsi="宋体"/>
                <w:szCs w:val="24"/>
              </w:rPr>
              <w:br w:type="textWrapping"/>
            </w:r>
            <w:r>
              <w:rPr>
                <w:rFonts w:hint="eastAsia" w:ascii="宋体" w:hAnsi="宋体"/>
                <w:szCs w:val="24"/>
              </w:rPr>
              <w:t>4、以上操作系统补丁更新至最新版；</w:t>
            </w:r>
            <w:r>
              <w:rPr>
                <w:rFonts w:hint="eastAsia" w:ascii="宋体" w:hAnsi="宋体"/>
                <w:szCs w:val="24"/>
              </w:rPr>
              <w:br w:type="textWrapping"/>
            </w:r>
            <w:r>
              <w:rPr>
                <w:rFonts w:hint="eastAsia" w:ascii="宋体" w:hAnsi="宋体"/>
                <w:szCs w:val="24"/>
              </w:rPr>
              <w:t>二、数据库系统安装</w:t>
            </w:r>
            <w:r>
              <w:rPr>
                <w:rFonts w:hint="eastAsia" w:ascii="宋体" w:hAnsi="宋体"/>
                <w:szCs w:val="24"/>
              </w:rPr>
              <w:br w:type="textWrapping"/>
            </w:r>
            <w:r>
              <w:rPr>
                <w:rFonts w:hint="eastAsia" w:ascii="宋体" w:hAnsi="宋体"/>
                <w:szCs w:val="24"/>
              </w:rPr>
              <w:t>1、生产环境数据库软件安装；</w:t>
            </w:r>
            <w:r>
              <w:rPr>
                <w:rFonts w:hint="eastAsia" w:ascii="宋体" w:hAnsi="宋体"/>
                <w:szCs w:val="24"/>
              </w:rPr>
              <w:br w:type="textWrapping"/>
            </w:r>
            <w:r>
              <w:rPr>
                <w:rFonts w:hint="eastAsia" w:ascii="宋体" w:hAnsi="宋体"/>
                <w:szCs w:val="24"/>
              </w:rPr>
              <w:t>2、灾备环境数据库软件安装；</w:t>
            </w:r>
            <w:r>
              <w:rPr>
                <w:rFonts w:hint="eastAsia" w:ascii="宋体" w:hAnsi="宋体"/>
                <w:szCs w:val="24"/>
              </w:rPr>
              <w:br w:type="textWrapping"/>
            </w:r>
            <w:r>
              <w:rPr>
                <w:rFonts w:hint="eastAsia" w:ascii="宋体" w:hAnsi="宋体"/>
                <w:szCs w:val="24"/>
              </w:rPr>
              <w:t>3、测试环境数据库软件安装；</w:t>
            </w:r>
            <w:r>
              <w:rPr>
                <w:rFonts w:hint="eastAsia" w:ascii="宋体" w:hAnsi="宋体"/>
                <w:szCs w:val="24"/>
              </w:rPr>
              <w:br w:type="textWrapping"/>
            </w:r>
            <w:r>
              <w:rPr>
                <w:rFonts w:hint="eastAsia" w:ascii="宋体" w:hAnsi="宋体"/>
                <w:szCs w:val="24"/>
              </w:rPr>
              <w:t>4、以上数据库软件补丁更新至最新版；</w:t>
            </w:r>
            <w:r>
              <w:rPr>
                <w:rFonts w:hint="eastAsia" w:ascii="宋体" w:hAnsi="宋体"/>
                <w:szCs w:val="24"/>
              </w:rPr>
              <w:br w:type="textWrapping"/>
            </w:r>
            <w:r>
              <w:rPr>
                <w:rFonts w:hint="eastAsia" w:ascii="宋体" w:hAnsi="宋体"/>
                <w:szCs w:val="24"/>
              </w:rPr>
              <w:t>三、操作系统数据库安全策略部署</w:t>
            </w:r>
            <w:r>
              <w:rPr>
                <w:rFonts w:hint="eastAsia" w:ascii="宋体" w:hAnsi="宋体"/>
                <w:szCs w:val="24"/>
              </w:rPr>
              <w:br w:type="textWrapping"/>
            </w:r>
            <w:r>
              <w:rPr>
                <w:rFonts w:hint="eastAsia" w:ascii="宋体" w:hAnsi="宋体"/>
                <w:szCs w:val="24"/>
              </w:rPr>
              <w:t>1、OS/DB User业务权限分级策略；</w:t>
            </w:r>
            <w:r>
              <w:rPr>
                <w:rFonts w:hint="eastAsia" w:ascii="宋体" w:hAnsi="宋体"/>
                <w:szCs w:val="24"/>
              </w:rPr>
              <w:br w:type="textWrapping"/>
            </w:r>
            <w:r>
              <w:rPr>
                <w:rFonts w:hint="eastAsia" w:ascii="宋体" w:hAnsi="宋体"/>
                <w:szCs w:val="24"/>
              </w:rPr>
              <w:t>2、密码复杂度策略；</w:t>
            </w:r>
            <w:r>
              <w:rPr>
                <w:rFonts w:hint="eastAsia" w:ascii="宋体" w:hAnsi="宋体"/>
                <w:szCs w:val="24"/>
              </w:rPr>
              <w:br w:type="textWrapping"/>
            </w:r>
            <w:r>
              <w:rPr>
                <w:rFonts w:hint="eastAsia" w:ascii="宋体" w:hAnsi="宋体"/>
                <w:szCs w:val="24"/>
              </w:rPr>
              <w:t>3、审计策略；</w:t>
            </w:r>
            <w:r>
              <w:rPr>
                <w:rFonts w:hint="eastAsia" w:ascii="宋体" w:hAnsi="宋体"/>
                <w:szCs w:val="24"/>
              </w:rPr>
              <w:br w:type="textWrapping"/>
            </w:r>
            <w:r>
              <w:rPr>
                <w:rFonts w:hint="eastAsia" w:ascii="宋体" w:hAnsi="宋体"/>
                <w:szCs w:val="24"/>
              </w:rPr>
              <w:t>4、业务端口策略；</w:t>
            </w:r>
            <w:r>
              <w:rPr>
                <w:rFonts w:hint="eastAsia" w:ascii="宋体" w:hAnsi="宋体"/>
                <w:szCs w:val="24"/>
              </w:rPr>
              <w:br w:type="textWrapping"/>
            </w:r>
            <w:r>
              <w:rPr>
                <w:rFonts w:hint="eastAsia" w:ascii="宋体" w:hAnsi="宋体"/>
                <w:szCs w:val="24"/>
              </w:rPr>
              <w:t>5、SP更新策略；</w:t>
            </w:r>
          </w:p>
        </w:tc>
      </w:tr>
      <w:tr w14:paraId="73F3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shd w:val="clear" w:color="auto" w:fill="auto"/>
            <w:vAlign w:val="center"/>
          </w:tcPr>
          <w:p w14:paraId="2FA1F45E">
            <w:pPr>
              <w:spacing w:line="360" w:lineRule="auto"/>
              <w:jc w:val="center"/>
              <w:rPr>
                <w:rFonts w:ascii="宋体" w:hAnsi="宋体"/>
                <w:b/>
                <w:bCs/>
                <w:szCs w:val="24"/>
              </w:rPr>
            </w:pPr>
            <w:r>
              <w:rPr>
                <w:rFonts w:hint="eastAsia" w:ascii="宋体" w:hAnsi="宋体"/>
                <w:szCs w:val="24"/>
              </w:rPr>
              <w:t>数据库集群部署、测试、备份及优化</w:t>
            </w:r>
          </w:p>
        </w:tc>
        <w:tc>
          <w:tcPr>
            <w:tcW w:w="6727" w:type="dxa"/>
            <w:shd w:val="clear" w:color="auto" w:fill="auto"/>
            <w:vAlign w:val="center"/>
          </w:tcPr>
          <w:p w14:paraId="73288141">
            <w:pPr>
              <w:spacing w:line="360" w:lineRule="auto"/>
              <w:rPr>
                <w:rFonts w:ascii="宋体" w:hAnsi="宋体"/>
                <w:szCs w:val="24"/>
              </w:rPr>
            </w:pPr>
            <w:r>
              <w:rPr>
                <w:rFonts w:hint="eastAsia" w:ascii="宋体" w:hAnsi="宋体"/>
                <w:szCs w:val="24"/>
              </w:rPr>
              <w:t>一、数据库部署A/S主备集群  </w:t>
            </w:r>
            <w:r>
              <w:rPr>
                <w:rFonts w:hint="eastAsia" w:ascii="宋体" w:hAnsi="宋体"/>
                <w:szCs w:val="24"/>
              </w:rPr>
              <w:br w:type="textWrapping"/>
            </w:r>
            <w:r>
              <w:rPr>
                <w:rFonts w:hint="eastAsia" w:ascii="宋体" w:hAnsi="宋体"/>
                <w:szCs w:val="24"/>
              </w:rPr>
              <w:t>1、集群模式策略；2、数据库同步策略配置；3、HA负载策略配置；4、实例名、VIP、多路径等集群信息配置； 5、容量策略，DATA容量、LOG容量及相应的存储策略；</w:t>
            </w:r>
            <w:r>
              <w:rPr>
                <w:rFonts w:hint="eastAsia" w:ascii="宋体" w:hAnsi="宋体"/>
                <w:szCs w:val="24"/>
              </w:rPr>
              <w:br w:type="textWrapping"/>
            </w:r>
            <w:r>
              <w:rPr>
                <w:rFonts w:hint="eastAsia" w:ascii="宋体" w:hAnsi="宋体"/>
                <w:szCs w:val="24"/>
              </w:rPr>
              <w:t>二、核心数据库集群有效性验证</w:t>
            </w:r>
            <w:r>
              <w:rPr>
                <w:rFonts w:hint="eastAsia" w:ascii="宋体" w:hAnsi="宋体"/>
                <w:szCs w:val="24"/>
              </w:rPr>
              <w:br w:type="textWrapping"/>
            </w:r>
            <w:r>
              <w:rPr>
                <w:rFonts w:hint="eastAsia" w:ascii="宋体" w:hAnsi="宋体"/>
                <w:szCs w:val="24"/>
              </w:rPr>
              <w:t>1、IO性能测试；2、HA切换验证；3、负载均衡功能验证；4、数据访问并发压力测试；</w:t>
            </w:r>
            <w:r>
              <w:rPr>
                <w:rFonts w:hint="eastAsia" w:ascii="宋体" w:hAnsi="宋体"/>
                <w:szCs w:val="24"/>
              </w:rPr>
              <w:br w:type="textWrapping"/>
            </w:r>
            <w:r>
              <w:rPr>
                <w:rFonts w:hint="eastAsia" w:ascii="宋体" w:hAnsi="宋体"/>
                <w:szCs w:val="24"/>
              </w:rPr>
              <w:t>三、数据库备份策略</w:t>
            </w:r>
            <w:r>
              <w:rPr>
                <w:rFonts w:hint="eastAsia" w:ascii="宋体" w:hAnsi="宋体"/>
                <w:szCs w:val="24"/>
              </w:rPr>
              <w:br w:type="textWrapping"/>
            </w:r>
            <w:r>
              <w:rPr>
                <w:rFonts w:hint="eastAsia" w:ascii="宋体" w:hAnsi="宋体"/>
                <w:szCs w:val="24"/>
              </w:rPr>
              <w:t>1、备份策略，根据业务类型、数据库部署模式，实施全量备份/差异备份/差量日志备份，部署备份周期策略；</w:t>
            </w:r>
            <w:r>
              <w:rPr>
                <w:rFonts w:hint="eastAsia" w:ascii="宋体" w:hAnsi="宋体"/>
                <w:szCs w:val="24"/>
              </w:rPr>
              <w:br w:type="textWrapping"/>
            </w:r>
            <w:r>
              <w:rPr>
                <w:rFonts w:hint="eastAsia" w:ascii="宋体" w:hAnsi="宋体"/>
                <w:szCs w:val="24"/>
              </w:rPr>
              <w:t>2、备份执行监控；</w:t>
            </w:r>
            <w:r>
              <w:rPr>
                <w:rFonts w:hint="eastAsia" w:ascii="宋体" w:hAnsi="宋体"/>
                <w:szCs w:val="24"/>
              </w:rPr>
              <w:br w:type="textWrapping"/>
            </w:r>
            <w:r>
              <w:rPr>
                <w:rFonts w:hint="eastAsia" w:ascii="宋体" w:hAnsi="宋体"/>
                <w:szCs w:val="24"/>
              </w:rPr>
              <w:t>3、备份数据有效性还原测试；</w:t>
            </w:r>
            <w:r>
              <w:rPr>
                <w:rFonts w:hint="eastAsia" w:ascii="宋体" w:hAnsi="宋体"/>
                <w:szCs w:val="24"/>
              </w:rPr>
              <w:br w:type="textWrapping"/>
            </w:r>
            <w:r>
              <w:rPr>
                <w:rFonts w:hint="eastAsia" w:ascii="宋体" w:hAnsi="宋体"/>
                <w:szCs w:val="24"/>
              </w:rPr>
              <w:t>4、数据一致性检测；</w:t>
            </w:r>
            <w:r>
              <w:rPr>
                <w:rFonts w:hint="eastAsia" w:ascii="宋体" w:hAnsi="宋体"/>
                <w:szCs w:val="24"/>
              </w:rPr>
              <w:br w:type="textWrapping"/>
            </w:r>
            <w:r>
              <w:rPr>
                <w:rFonts w:hint="eastAsia" w:ascii="宋体" w:hAnsi="宋体"/>
                <w:szCs w:val="24"/>
              </w:rPr>
              <w:t>5、数据零丢失验证；</w:t>
            </w:r>
            <w:r>
              <w:rPr>
                <w:rFonts w:hint="eastAsia" w:ascii="宋体" w:hAnsi="宋体"/>
                <w:szCs w:val="24"/>
              </w:rPr>
              <w:br w:type="textWrapping"/>
            </w:r>
            <w:r>
              <w:rPr>
                <w:rFonts w:hint="eastAsia" w:ascii="宋体" w:hAnsi="宋体"/>
                <w:szCs w:val="24"/>
              </w:rPr>
              <w:t>四、数据库优化</w:t>
            </w:r>
            <w:r>
              <w:rPr>
                <w:rFonts w:hint="eastAsia" w:ascii="宋体" w:hAnsi="宋体"/>
                <w:szCs w:val="24"/>
              </w:rPr>
              <w:br w:type="textWrapping"/>
            </w:r>
            <w:r>
              <w:rPr>
                <w:rFonts w:hint="eastAsia" w:ascii="宋体" w:hAnsi="宋体"/>
                <w:szCs w:val="24"/>
              </w:rPr>
              <w:t>1、性能基线采集建档；2、关键数据库捕获高负载SQL清单（逻辑读、执行时间）；3、资源瓶颈分析，存储I/O、CPU、内存、网络；4、实例参数调优，数据库参数配置文件；</w:t>
            </w:r>
          </w:p>
        </w:tc>
      </w:tr>
      <w:tr w14:paraId="3510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shd w:val="clear" w:color="auto" w:fill="auto"/>
            <w:vAlign w:val="center"/>
          </w:tcPr>
          <w:p w14:paraId="5FF21EDA">
            <w:pPr>
              <w:spacing w:line="360" w:lineRule="auto"/>
              <w:jc w:val="center"/>
              <w:rPr>
                <w:rFonts w:ascii="宋体" w:hAnsi="宋体"/>
                <w:b/>
                <w:bCs/>
                <w:szCs w:val="24"/>
              </w:rPr>
            </w:pPr>
            <w:r>
              <w:rPr>
                <w:rFonts w:hint="eastAsia" w:ascii="宋体" w:hAnsi="宋体"/>
                <w:szCs w:val="24"/>
              </w:rPr>
              <w:t>割接与上线保障</w:t>
            </w:r>
          </w:p>
        </w:tc>
        <w:tc>
          <w:tcPr>
            <w:tcW w:w="6727" w:type="dxa"/>
            <w:shd w:val="clear" w:color="auto" w:fill="auto"/>
            <w:vAlign w:val="center"/>
          </w:tcPr>
          <w:p w14:paraId="669674EC">
            <w:pPr>
              <w:spacing w:line="360" w:lineRule="auto"/>
              <w:rPr>
                <w:rFonts w:ascii="宋体" w:hAnsi="宋体"/>
                <w:szCs w:val="24"/>
              </w:rPr>
            </w:pPr>
            <w:r>
              <w:rPr>
                <w:rFonts w:hint="eastAsia" w:ascii="宋体" w:hAnsi="宋体"/>
                <w:szCs w:val="24"/>
              </w:rPr>
              <w:t>1、制定详细的集成割接方案与回退预案,方案预演、数据迁移、正式切换，确保系统平稳上线； 2、割接与上线完成后，提供首周7×24小时应急响应，保障业务连续性与数据安全；</w:t>
            </w:r>
          </w:p>
        </w:tc>
      </w:tr>
      <w:tr w14:paraId="0EC1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shd w:val="clear" w:color="auto" w:fill="auto"/>
            <w:vAlign w:val="center"/>
          </w:tcPr>
          <w:p w14:paraId="53F9D582">
            <w:pPr>
              <w:spacing w:line="360" w:lineRule="auto"/>
              <w:jc w:val="center"/>
              <w:rPr>
                <w:rFonts w:ascii="宋体" w:hAnsi="宋体"/>
                <w:b/>
                <w:bCs/>
                <w:szCs w:val="24"/>
              </w:rPr>
            </w:pPr>
            <w:r>
              <w:rPr>
                <w:rFonts w:hint="eastAsia" w:ascii="宋体" w:hAnsi="宋体"/>
                <w:szCs w:val="24"/>
              </w:rPr>
              <w:t>技术服务（一年）</w:t>
            </w:r>
          </w:p>
        </w:tc>
        <w:tc>
          <w:tcPr>
            <w:tcW w:w="6727" w:type="dxa"/>
            <w:shd w:val="clear" w:color="auto" w:fill="auto"/>
            <w:vAlign w:val="center"/>
          </w:tcPr>
          <w:p w14:paraId="3280B58B">
            <w:pPr>
              <w:spacing w:line="360" w:lineRule="auto"/>
              <w:rPr>
                <w:rFonts w:ascii="宋体" w:hAnsi="宋体"/>
                <w:szCs w:val="24"/>
              </w:rPr>
            </w:pPr>
            <w:r>
              <w:rPr>
                <w:rFonts w:hint="eastAsia" w:ascii="宋体" w:hAnsi="宋体"/>
                <w:szCs w:val="24"/>
              </w:rPr>
              <w:t>提供硬件验收后一年免费的集成服务如下：</w:t>
            </w:r>
            <w:r>
              <w:rPr>
                <w:rFonts w:hint="eastAsia" w:ascii="宋体" w:hAnsi="宋体"/>
                <w:szCs w:val="24"/>
              </w:rPr>
              <w:br w:type="textWrapping"/>
            </w:r>
            <w:r>
              <w:rPr>
                <w:rFonts w:hint="eastAsia" w:ascii="宋体" w:hAnsi="宋体"/>
                <w:szCs w:val="24"/>
              </w:rPr>
              <w:t>1、数据库管理服务；</w:t>
            </w:r>
            <w:r>
              <w:rPr>
                <w:rFonts w:hint="eastAsia" w:ascii="宋体" w:hAnsi="宋体"/>
                <w:szCs w:val="24"/>
              </w:rPr>
              <w:br w:type="textWrapping"/>
            </w:r>
            <w:r>
              <w:rPr>
                <w:rFonts w:hint="eastAsia" w:ascii="宋体" w:hAnsi="宋体"/>
                <w:szCs w:val="24"/>
              </w:rPr>
              <w:t>2、高可用集群健康巡检服务；</w:t>
            </w:r>
            <w:r>
              <w:rPr>
                <w:rFonts w:hint="eastAsia" w:ascii="宋体" w:hAnsi="宋体"/>
                <w:szCs w:val="24"/>
              </w:rPr>
              <w:br w:type="textWrapping"/>
            </w:r>
            <w:r>
              <w:rPr>
                <w:rFonts w:hint="eastAsia" w:ascii="宋体" w:hAnsi="宋体"/>
                <w:szCs w:val="24"/>
              </w:rPr>
              <w:t>3、生产高可用与灾备演练服务；</w:t>
            </w:r>
            <w:r>
              <w:rPr>
                <w:rFonts w:hint="eastAsia" w:ascii="宋体" w:hAnsi="宋体"/>
                <w:szCs w:val="24"/>
              </w:rPr>
              <w:br w:type="textWrapping"/>
            </w:r>
            <w:r>
              <w:rPr>
                <w:rFonts w:hint="eastAsia" w:ascii="宋体" w:hAnsi="宋体"/>
                <w:szCs w:val="24"/>
              </w:rPr>
              <w:t>4、操作系统数据库安全合规维护；</w:t>
            </w:r>
            <w:r>
              <w:rPr>
                <w:rFonts w:hint="eastAsia" w:ascii="宋体" w:hAnsi="宋体"/>
                <w:szCs w:val="24"/>
              </w:rPr>
              <w:br w:type="textWrapping"/>
            </w:r>
            <w:r>
              <w:rPr>
                <w:rFonts w:hint="eastAsia" w:ascii="宋体" w:hAnsi="宋体"/>
                <w:szCs w:val="24"/>
              </w:rPr>
              <w:t>5、操作系统与数据库配置参数微调；</w:t>
            </w:r>
            <w:r>
              <w:rPr>
                <w:rFonts w:hint="eastAsia" w:ascii="宋体" w:hAnsi="宋体"/>
                <w:szCs w:val="24"/>
              </w:rPr>
              <w:br w:type="textWrapping"/>
            </w:r>
            <w:r>
              <w:rPr>
                <w:rFonts w:hint="eastAsia" w:ascii="宋体" w:hAnsi="宋体"/>
                <w:szCs w:val="24"/>
              </w:rPr>
              <w:t>6、应急故障响应与处理；</w:t>
            </w:r>
          </w:p>
        </w:tc>
      </w:tr>
    </w:tbl>
    <w:p w14:paraId="129B1281"/>
    <w:p w14:paraId="084D6785">
      <w:pPr>
        <w:pStyle w:val="4"/>
        <w:numPr>
          <w:ilvl w:val="0"/>
          <w:numId w:val="0"/>
        </w:num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19、机房运维</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6910"/>
      </w:tblGrid>
      <w:tr w14:paraId="70001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626CA2E9">
            <w:pPr>
              <w:widowControl/>
              <w:spacing w:line="360" w:lineRule="auto"/>
              <w:jc w:val="center"/>
              <w:rPr>
                <w:rFonts w:ascii="宋体" w:hAnsi="宋体"/>
                <w:b/>
                <w:szCs w:val="24"/>
              </w:rPr>
            </w:pPr>
            <w:r>
              <w:rPr>
                <w:rFonts w:hint="eastAsia" w:ascii="宋体" w:hAnsi="宋体"/>
                <w:b/>
                <w:szCs w:val="24"/>
              </w:rPr>
              <w:t>指标项</w:t>
            </w:r>
          </w:p>
        </w:tc>
        <w:tc>
          <w:tcPr>
            <w:tcW w:w="6727"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7CB2BCC0">
            <w:pPr>
              <w:widowControl/>
              <w:spacing w:line="360" w:lineRule="auto"/>
              <w:jc w:val="center"/>
              <w:rPr>
                <w:rFonts w:ascii="宋体" w:hAnsi="宋体" w:cs="宋体"/>
                <w:b/>
                <w:kern w:val="0"/>
                <w:szCs w:val="24"/>
              </w:rPr>
            </w:pPr>
            <w:r>
              <w:rPr>
                <w:rFonts w:hint="eastAsia" w:ascii="宋体" w:hAnsi="宋体"/>
                <w:b/>
                <w:szCs w:val="24"/>
              </w:rPr>
              <w:t>指标要求</w:t>
            </w:r>
          </w:p>
        </w:tc>
      </w:tr>
      <w:tr w14:paraId="4BCF2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vAlign w:val="center"/>
          </w:tcPr>
          <w:p w14:paraId="4EB7A436">
            <w:pPr>
              <w:spacing w:line="360" w:lineRule="auto"/>
              <w:jc w:val="center"/>
              <w:rPr>
                <w:rFonts w:ascii="宋体" w:hAnsi="宋体"/>
                <w:b/>
                <w:bCs/>
                <w:szCs w:val="24"/>
              </w:rPr>
            </w:pPr>
            <w:r>
              <w:rPr>
                <w:rFonts w:hint="eastAsia" w:ascii="宋体" w:hAnsi="宋体"/>
                <w:b/>
                <w:bCs/>
                <w:szCs w:val="24"/>
              </w:rPr>
              <w:t>服务要求</w:t>
            </w:r>
          </w:p>
        </w:tc>
        <w:tc>
          <w:tcPr>
            <w:tcW w:w="6727" w:type="dxa"/>
            <w:tcBorders>
              <w:top w:val="single" w:color="auto" w:sz="4" w:space="0"/>
              <w:left w:val="single" w:color="auto" w:sz="4" w:space="0"/>
              <w:bottom w:val="single" w:color="auto" w:sz="4" w:space="0"/>
              <w:right w:val="single" w:color="auto" w:sz="4" w:space="0"/>
            </w:tcBorders>
            <w:vAlign w:val="center"/>
          </w:tcPr>
          <w:p w14:paraId="4828610F">
            <w:pPr>
              <w:spacing w:line="360" w:lineRule="auto"/>
              <w:rPr>
                <w:rFonts w:ascii="宋体" w:hAnsi="宋体"/>
                <w:szCs w:val="24"/>
              </w:rPr>
            </w:pPr>
            <w:r>
              <w:rPr>
                <w:rFonts w:ascii="宋体" w:hAnsi="宋体"/>
                <w:szCs w:val="24"/>
              </w:rPr>
              <w:t>1、服务时间</w:t>
            </w:r>
          </w:p>
          <w:p w14:paraId="502047AD">
            <w:pPr>
              <w:spacing w:line="360" w:lineRule="auto"/>
              <w:rPr>
                <w:rFonts w:ascii="宋体" w:hAnsi="宋体"/>
                <w:szCs w:val="24"/>
              </w:rPr>
            </w:pPr>
            <w:r>
              <w:rPr>
                <w:rFonts w:hint="eastAsia" w:ascii="宋体" w:hAnsi="宋体"/>
                <w:szCs w:val="24"/>
              </w:rPr>
              <w:t>医院运行设备包括服务器、存储、交换机、安全设备等，维保期限为一年（以合同签订时间为准）。</w:t>
            </w:r>
          </w:p>
          <w:p w14:paraId="016A9FC7">
            <w:pPr>
              <w:spacing w:line="360" w:lineRule="auto"/>
              <w:rPr>
                <w:rFonts w:ascii="宋体" w:hAnsi="宋体"/>
                <w:szCs w:val="24"/>
              </w:rPr>
            </w:pPr>
            <w:r>
              <w:rPr>
                <w:rFonts w:ascii="宋体" w:hAnsi="宋体"/>
                <w:szCs w:val="24"/>
              </w:rPr>
              <w:t>2、服务内容</w:t>
            </w:r>
          </w:p>
          <w:p w14:paraId="7280464B">
            <w:pPr>
              <w:spacing w:line="360" w:lineRule="auto"/>
              <w:rPr>
                <w:rFonts w:ascii="宋体" w:hAnsi="宋体"/>
                <w:szCs w:val="24"/>
              </w:rPr>
            </w:pPr>
            <w:r>
              <w:rPr>
                <w:rFonts w:hint="eastAsia" w:ascii="宋体" w:hAnsi="宋体"/>
                <w:szCs w:val="24"/>
              </w:rPr>
              <w:t>提供设备的维保服务，服务包括但不限于包括电话支持、日常检修、季度巡检、配置调整、数据迁移、故障配件维修、规则库升级，协助医院做好网络规划等。</w:t>
            </w:r>
          </w:p>
          <w:p w14:paraId="3E15A382">
            <w:pPr>
              <w:spacing w:line="360" w:lineRule="auto"/>
              <w:rPr>
                <w:rFonts w:ascii="宋体" w:hAnsi="宋体"/>
                <w:szCs w:val="24"/>
              </w:rPr>
            </w:pPr>
            <w:r>
              <w:rPr>
                <w:rFonts w:ascii="宋体" w:hAnsi="宋体"/>
                <w:szCs w:val="24"/>
              </w:rPr>
              <w:t>3、服务要求</w:t>
            </w:r>
          </w:p>
          <w:p w14:paraId="5F2E85C5">
            <w:pPr>
              <w:spacing w:line="360" w:lineRule="auto"/>
              <w:rPr>
                <w:rFonts w:ascii="宋体" w:hAnsi="宋体"/>
                <w:szCs w:val="24"/>
              </w:rPr>
            </w:pPr>
            <w:r>
              <w:rPr>
                <w:rFonts w:ascii="宋体" w:hAnsi="宋体"/>
                <w:szCs w:val="24"/>
              </w:rPr>
              <w:t>a提供远程技术支持：供应商通过热线电话、电子邮件、即时通讯工具等远程支持方式向甲方提供7x24远程技术支持服务，支持范围包括问题提交、问题远程指导、分析和排除、产品功能介绍、配置、安装、调试、客户化以及使用中遇到的技术问题的咨询等，供应商需在规定时间内响应。</w:t>
            </w:r>
          </w:p>
          <w:p w14:paraId="16CEC4B7">
            <w:pPr>
              <w:spacing w:line="360" w:lineRule="auto"/>
              <w:rPr>
                <w:rFonts w:ascii="宋体" w:hAnsi="宋体"/>
                <w:szCs w:val="24"/>
              </w:rPr>
            </w:pPr>
            <w:r>
              <w:rPr>
                <w:rFonts w:ascii="宋体" w:hAnsi="宋体"/>
                <w:szCs w:val="24"/>
              </w:rPr>
              <w:t>b现场故障解决服务：供应商服务工程师手机需7x24小时待机，此外，根据甲方需求接电话后天津本地2小时内到现场，供应商需提供7x24小时故障报修服务热线电话，随时准备处理各种突发事件。当甲方发现设备故障报修时，需及时响应并提供电话支持，根据情况，服务工程师及时到达现场进行故障诊断及维修，尽快恢复设备可用状态。对未明确原因的故障和维护清单以外的设备系统故障协助进行排查，并给出合理意见和建议。每周提供不少于2天的驻场服务。提供后台技术支撑团队，团队至少包含项目经理、存储专家、安全专家、数据库专家、网络专家、运维专</w:t>
            </w:r>
            <w:r>
              <w:rPr>
                <w:rFonts w:hint="eastAsia" w:ascii="宋体" w:hAnsi="宋体"/>
                <w:szCs w:val="24"/>
              </w:rPr>
              <w:t>家。预防性检查服务：提供每季度进行</w:t>
            </w:r>
            <w:r>
              <w:rPr>
                <w:rFonts w:ascii="宋体" w:hAnsi="宋体"/>
                <w:szCs w:val="24"/>
              </w:rPr>
              <w:t>1次巡检，并提出日常维护的建议，根据运行情况，提供优化方案。服务年度期满前十五天，提供年度服务总结报告。提供</w:t>
            </w:r>
            <w:r>
              <w:rPr>
                <w:rFonts w:hint="eastAsia" w:ascii="宋体" w:hAnsi="宋体"/>
                <w:szCs w:val="24"/>
              </w:rPr>
              <w:t>现有内网</w:t>
            </w:r>
            <w:r>
              <w:rPr>
                <w:rFonts w:ascii="宋体" w:hAnsi="宋体"/>
                <w:szCs w:val="24"/>
              </w:rPr>
              <w:t>存储原厂质保服务和技术支持，提供（非现场）备机服务。重要时刻现场值守服务：在出现新系统上线、系统割接、设备扩容、移机、机房调整等重大系统变更事件时，需对维保设备提供设备移动、安装调试、配置调整、数据迁移、辅助工具软件安装等现场服务。对于维护设备范围外设备，提供相关配合服务。</w:t>
            </w:r>
          </w:p>
          <w:p w14:paraId="155D5469">
            <w:pPr>
              <w:spacing w:line="360" w:lineRule="auto"/>
              <w:rPr>
                <w:rFonts w:ascii="宋体" w:hAnsi="宋体"/>
                <w:szCs w:val="24"/>
              </w:rPr>
            </w:pPr>
            <w:r>
              <w:rPr>
                <w:rFonts w:ascii="宋体" w:hAnsi="宋体"/>
                <w:szCs w:val="24"/>
              </w:rPr>
              <w:t>4、备件保障服务</w:t>
            </w:r>
          </w:p>
          <w:p w14:paraId="387BEEE7">
            <w:pPr>
              <w:spacing w:line="360" w:lineRule="auto"/>
              <w:rPr>
                <w:rFonts w:ascii="宋体" w:hAnsi="宋体"/>
                <w:szCs w:val="24"/>
              </w:rPr>
            </w:pPr>
            <w:r>
              <w:rPr>
                <w:rFonts w:hint="eastAsia" w:ascii="宋体" w:hAnsi="宋体"/>
                <w:szCs w:val="24"/>
              </w:rPr>
              <w:t>供应商备件库应满足为本项目提供本地备件服务，保证备件的品质和可用性，按服务级别提供备件保障服务。设备故障无法修复时提供相应备件，</w:t>
            </w:r>
            <w:r>
              <w:rPr>
                <w:rFonts w:ascii="宋体" w:hAnsi="宋体"/>
                <w:szCs w:val="24"/>
              </w:rPr>
              <w:t>2小时内备件到达现场。</w:t>
            </w:r>
          </w:p>
          <w:p w14:paraId="0588D496">
            <w:pPr>
              <w:spacing w:line="360" w:lineRule="auto"/>
              <w:rPr>
                <w:rFonts w:ascii="宋体" w:hAnsi="宋体"/>
                <w:szCs w:val="24"/>
              </w:rPr>
            </w:pPr>
            <w:r>
              <w:rPr>
                <w:rFonts w:ascii="宋体" w:hAnsi="宋体"/>
                <w:szCs w:val="24"/>
              </w:rPr>
              <w:t>5、人员资质</w:t>
            </w:r>
          </w:p>
          <w:p w14:paraId="762385C1">
            <w:pPr>
              <w:spacing w:line="360" w:lineRule="auto"/>
              <w:rPr>
                <w:rFonts w:ascii="宋体" w:hAnsi="宋体"/>
                <w:szCs w:val="24"/>
              </w:rPr>
            </w:pPr>
            <w:r>
              <w:rPr>
                <w:rFonts w:hint="eastAsia" w:ascii="宋体" w:hAnsi="宋体"/>
                <w:szCs w:val="24"/>
              </w:rPr>
              <w:t>工程师具备</w:t>
            </w:r>
            <w:r>
              <w:rPr>
                <w:rFonts w:ascii="宋体" w:hAnsi="宋体"/>
                <w:szCs w:val="24"/>
              </w:rPr>
              <w:t xml:space="preserve"> CCNP 或HCNP级别或以上证书（医院具有cisco 6509 、cisco2960s等型号交换机）</w:t>
            </w:r>
          </w:p>
        </w:tc>
      </w:tr>
    </w:tbl>
    <w:p w14:paraId="7197F61A"/>
    <w:p w14:paraId="3FA35510">
      <w:pPr>
        <w:pStyle w:val="4"/>
        <w:numPr>
          <w:ilvl w:val="0"/>
          <w:numId w:val="0"/>
        </w:num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20、精密空调运维</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6910"/>
      </w:tblGrid>
      <w:tr w14:paraId="73C7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74A5427B">
            <w:pPr>
              <w:widowControl/>
              <w:spacing w:line="360" w:lineRule="auto"/>
              <w:jc w:val="center"/>
              <w:rPr>
                <w:rFonts w:ascii="宋体" w:hAnsi="宋体"/>
                <w:b/>
                <w:szCs w:val="24"/>
              </w:rPr>
            </w:pPr>
            <w:r>
              <w:rPr>
                <w:rFonts w:hint="eastAsia" w:ascii="宋体" w:hAnsi="宋体"/>
                <w:b/>
                <w:szCs w:val="24"/>
              </w:rPr>
              <w:t>指标项</w:t>
            </w:r>
          </w:p>
        </w:tc>
        <w:tc>
          <w:tcPr>
            <w:tcW w:w="6727"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02F45E06">
            <w:pPr>
              <w:widowControl/>
              <w:spacing w:line="360" w:lineRule="auto"/>
              <w:jc w:val="center"/>
              <w:rPr>
                <w:rFonts w:ascii="宋体" w:hAnsi="宋体" w:cs="宋体"/>
                <w:b/>
                <w:kern w:val="0"/>
                <w:szCs w:val="24"/>
              </w:rPr>
            </w:pPr>
            <w:r>
              <w:rPr>
                <w:rFonts w:hint="eastAsia" w:ascii="宋体" w:hAnsi="宋体"/>
                <w:b/>
                <w:szCs w:val="24"/>
              </w:rPr>
              <w:t>指标要求</w:t>
            </w:r>
          </w:p>
        </w:tc>
      </w:tr>
      <w:tr w14:paraId="7EE5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vAlign w:val="center"/>
          </w:tcPr>
          <w:p w14:paraId="53AB43B3">
            <w:pPr>
              <w:spacing w:line="360" w:lineRule="auto"/>
              <w:jc w:val="center"/>
              <w:rPr>
                <w:rFonts w:ascii="宋体" w:hAnsi="宋体"/>
                <w:bCs/>
                <w:szCs w:val="24"/>
              </w:rPr>
            </w:pPr>
            <w:r>
              <w:rPr>
                <w:rFonts w:hint="eastAsia" w:ascii="宋体" w:hAnsi="宋体"/>
                <w:bCs/>
                <w:szCs w:val="24"/>
              </w:rPr>
              <w:t>总体要求</w:t>
            </w:r>
          </w:p>
        </w:tc>
        <w:tc>
          <w:tcPr>
            <w:tcW w:w="6727" w:type="dxa"/>
            <w:tcBorders>
              <w:top w:val="single" w:color="auto" w:sz="4" w:space="0"/>
              <w:left w:val="single" w:color="auto" w:sz="4" w:space="0"/>
              <w:bottom w:val="single" w:color="auto" w:sz="4" w:space="0"/>
              <w:right w:val="single" w:color="auto" w:sz="4" w:space="0"/>
            </w:tcBorders>
            <w:vAlign w:val="center"/>
          </w:tcPr>
          <w:p w14:paraId="478D6FF5">
            <w:pPr>
              <w:spacing w:line="360" w:lineRule="auto"/>
              <w:rPr>
                <w:rFonts w:ascii="宋体" w:hAnsi="宋体"/>
                <w:szCs w:val="24"/>
              </w:rPr>
            </w:pPr>
            <w:r>
              <w:rPr>
                <w:rFonts w:hint="eastAsia" w:ascii="宋体" w:hAnsi="宋体"/>
                <w:szCs w:val="24"/>
              </w:rPr>
              <w:t>1、维保期限：一年</w:t>
            </w:r>
          </w:p>
          <w:p w14:paraId="6C511D7D">
            <w:pPr>
              <w:spacing w:line="360" w:lineRule="auto"/>
              <w:rPr>
                <w:rFonts w:ascii="宋体" w:hAnsi="宋体"/>
                <w:szCs w:val="24"/>
              </w:rPr>
            </w:pPr>
            <w:r>
              <w:rPr>
                <w:rFonts w:hint="eastAsia" w:ascii="宋体" w:hAnsi="宋体"/>
                <w:szCs w:val="24"/>
              </w:rPr>
              <w:t>2、维保设备：艾默生</w:t>
            </w:r>
            <w:r>
              <w:rPr>
                <w:rFonts w:ascii="宋体" w:hAnsi="宋体"/>
                <w:szCs w:val="24"/>
              </w:rPr>
              <w:t xml:space="preserve"> P2040</w:t>
            </w:r>
          </w:p>
        </w:tc>
      </w:tr>
      <w:tr w14:paraId="44E1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vAlign w:val="center"/>
          </w:tcPr>
          <w:p w14:paraId="159EACC8">
            <w:pPr>
              <w:spacing w:line="360" w:lineRule="auto"/>
              <w:jc w:val="center"/>
              <w:rPr>
                <w:rFonts w:ascii="宋体" w:hAnsi="宋体"/>
                <w:bCs/>
                <w:szCs w:val="24"/>
              </w:rPr>
            </w:pPr>
            <w:r>
              <w:rPr>
                <w:rFonts w:hint="eastAsia" w:ascii="宋体" w:hAnsi="宋体"/>
                <w:bCs/>
                <w:szCs w:val="24"/>
              </w:rPr>
              <w:t>巡检要求</w:t>
            </w:r>
          </w:p>
        </w:tc>
        <w:tc>
          <w:tcPr>
            <w:tcW w:w="6727" w:type="dxa"/>
            <w:tcBorders>
              <w:top w:val="single" w:color="auto" w:sz="4" w:space="0"/>
              <w:left w:val="single" w:color="auto" w:sz="4" w:space="0"/>
              <w:bottom w:val="single" w:color="auto" w:sz="4" w:space="0"/>
              <w:right w:val="single" w:color="auto" w:sz="4" w:space="0"/>
            </w:tcBorders>
            <w:vAlign w:val="center"/>
          </w:tcPr>
          <w:p w14:paraId="37C6E96E">
            <w:pPr>
              <w:spacing w:line="360" w:lineRule="auto"/>
              <w:rPr>
                <w:rFonts w:ascii="宋体" w:hAnsi="宋体"/>
                <w:szCs w:val="24"/>
              </w:rPr>
            </w:pPr>
            <w:r>
              <w:rPr>
                <w:rFonts w:hint="eastAsia" w:ascii="宋体" w:hAnsi="宋体"/>
                <w:szCs w:val="24"/>
              </w:rPr>
              <w:t>1、每</w:t>
            </w:r>
            <w:r>
              <w:rPr>
                <w:rFonts w:ascii="宋体" w:hAnsi="宋体"/>
                <w:szCs w:val="24"/>
              </w:rPr>
              <w:t>2月至少巡检1次，每年不低于6次定期巡检。</w:t>
            </w:r>
          </w:p>
          <w:p w14:paraId="1BF2AF10">
            <w:pPr>
              <w:spacing w:line="360" w:lineRule="auto"/>
              <w:rPr>
                <w:rFonts w:ascii="宋体" w:hAnsi="宋体"/>
                <w:szCs w:val="24"/>
              </w:rPr>
            </w:pPr>
            <w:r>
              <w:rPr>
                <w:rFonts w:ascii="宋体" w:hAnsi="宋体"/>
                <w:szCs w:val="24"/>
              </w:rPr>
              <w:t>2</w:t>
            </w:r>
            <w:r>
              <w:rPr>
                <w:rFonts w:hint="eastAsia" w:ascii="宋体" w:hAnsi="宋体"/>
                <w:szCs w:val="24"/>
              </w:rPr>
              <w:t>、巡检内容，包括但不仅限于控制系统、制冷系统、加湿系统、风机组件、空调内部电路检测</w:t>
            </w:r>
          </w:p>
          <w:p w14:paraId="03573D91">
            <w:pPr>
              <w:spacing w:line="360" w:lineRule="auto"/>
              <w:rPr>
                <w:rFonts w:ascii="宋体" w:hAnsi="宋体"/>
                <w:szCs w:val="24"/>
              </w:rPr>
            </w:pPr>
            <w:r>
              <w:rPr>
                <w:rFonts w:hint="eastAsia" w:ascii="宋体" w:hAnsi="宋体"/>
                <w:szCs w:val="24"/>
              </w:rPr>
              <w:t>3、空气过滤器至少每季度更换一次，每季度进行设备清洁</w:t>
            </w:r>
          </w:p>
        </w:tc>
      </w:tr>
      <w:tr w14:paraId="2705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vAlign w:val="center"/>
          </w:tcPr>
          <w:p w14:paraId="2D4597D3">
            <w:pPr>
              <w:spacing w:line="360" w:lineRule="auto"/>
              <w:jc w:val="center"/>
              <w:rPr>
                <w:rFonts w:ascii="宋体" w:hAnsi="宋体"/>
                <w:b/>
                <w:bCs/>
                <w:szCs w:val="24"/>
              </w:rPr>
            </w:pPr>
            <w:r>
              <w:rPr>
                <w:rFonts w:ascii="宋体" w:hAnsi="宋体" w:cs="宋体"/>
                <w:szCs w:val="24"/>
                <w:lang w:val="zh-CN"/>
              </w:rPr>
              <w:t>应急时效性</w:t>
            </w:r>
          </w:p>
        </w:tc>
        <w:tc>
          <w:tcPr>
            <w:tcW w:w="6727" w:type="dxa"/>
            <w:vAlign w:val="center"/>
          </w:tcPr>
          <w:p w14:paraId="74D9AD64">
            <w:pPr>
              <w:jc w:val="left"/>
              <w:rPr>
                <w:rFonts w:ascii="宋体" w:hAnsi="宋体" w:cs="宋体"/>
                <w:szCs w:val="24"/>
                <w:lang w:val="zh-CN"/>
              </w:rPr>
            </w:pPr>
            <w:r>
              <w:rPr>
                <w:rFonts w:hint="eastAsia" w:ascii="宋体" w:hAnsi="宋体" w:cs="宋体"/>
                <w:szCs w:val="24"/>
                <w:lang w:val="zh-CN"/>
              </w:rPr>
              <w:t>A级故障（严重故障导致业务停止），2小时内现场响应，2小时内排除故障；</w:t>
            </w:r>
          </w:p>
          <w:p w14:paraId="5DDDCF29">
            <w:pPr>
              <w:jc w:val="left"/>
              <w:rPr>
                <w:rFonts w:ascii="宋体" w:hAnsi="宋体" w:cs="宋体"/>
                <w:szCs w:val="24"/>
                <w:lang w:val="zh-CN"/>
              </w:rPr>
            </w:pPr>
            <w:r>
              <w:rPr>
                <w:rFonts w:hint="eastAsia" w:ascii="宋体" w:hAnsi="宋体" w:cs="宋体"/>
                <w:szCs w:val="24"/>
                <w:lang w:val="zh-CN"/>
              </w:rPr>
              <w:t>B级故障（一般故障导致性能下降但不影响业务正常运行），4小时内现场响应，4小时内排除故障；</w:t>
            </w:r>
          </w:p>
          <w:p w14:paraId="61DE44E1">
            <w:pPr>
              <w:spacing w:line="360" w:lineRule="auto"/>
              <w:rPr>
                <w:rFonts w:ascii="宋体" w:hAnsi="宋体"/>
                <w:szCs w:val="24"/>
              </w:rPr>
            </w:pPr>
            <w:r>
              <w:rPr>
                <w:rFonts w:hint="eastAsia" w:ascii="宋体" w:hAnsi="宋体" w:cs="宋体"/>
                <w:szCs w:val="24"/>
                <w:lang w:val="zh-CN"/>
              </w:rPr>
              <w:t>C级故障（系统功能，安装或配置咨询）4小时内现场响应，24小时内排除故障</w:t>
            </w:r>
          </w:p>
        </w:tc>
      </w:tr>
      <w:tr w14:paraId="6CAA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tcBorders>
              <w:top w:val="single" w:color="auto" w:sz="4" w:space="0"/>
              <w:left w:val="single" w:color="auto" w:sz="4" w:space="0"/>
              <w:bottom w:val="single" w:color="auto" w:sz="4" w:space="0"/>
              <w:right w:val="single" w:color="auto" w:sz="4" w:space="0"/>
            </w:tcBorders>
            <w:vAlign w:val="center"/>
          </w:tcPr>
          <w:p w14:paraId="12677821">
            <w:pPr>
              <w:spacing w:line="360" w:lineRule="auto"/>
              <w:jc w:val="center"/>
              <w:rPr>
                <w:rFonts w:ascii="宋体" w:hAnsi="宋体"/>
                <w:b/>
                <w:bCs/>
                <w:szCs w:val="24"/>
              </w:rPr>
            </w:pPr>
            <w:r>
              <w:rPr>
                <w:rFonts w:ascii="宋体" w:hAnsi="宋体" w:cs="宋体"/>
                <w:szCs w:val="24"/>
                <w:lang w:val="zh-CN"/>
              </w:rPr>
              <w:t>重大节点技术支持</w:t>
            </w:r>
          </w:p>
        </w:tc>
        <w:tc>
          <w:tcPr>
            <w:tcW w:w="6727" w:type="dxa"/>
            <w:tcBorders>
              <w:top w:val="single" w:color="auto" w:sz="4" w:space="0"/>
              <w:left w:val="single" w:color="auto" w:sz="4" w:space="0"/>
              <w:bottom w:val="single" w:color="auto" w:sz="4" w:space="0"/>
              <w:right w:val="single" w:color="auto" w:sz="4" w:space="0"/>
            </w:tcBorders>
            <w:vAlign w:val="center"/>
          </w:tcPr>
          <w:p w14:paraId="26783586">
            <w:pPr>
              <w:spacing w:line="360" w:lineRule="auto"/>
              <w:rPr>
                <w:rFonts w:ascii="宋体" w:hAnsi="宋体"/>
                <w:szCs w:val="24"/>
              </w:rPr>
            </w:pPr>
            <w:r>
              <w:rPr>
                <w:rFonts w:hint="eastAsia" w:ascii="宋体" w:hAnsi="宋体" w:cs="宋体"/>
                <w:szCs w:val="24"/>
                <w:lang w:val="zh-CN"/>
              </w:rPr>
              <w:t>如十一、年终、重大系统变更等特殊时点或机房搬迁等情况，乙方需安排相应人员到甲方指定地点协助</w:t>
            </w:r>
          </w:p>
        </w:tc>
      </w:tr>
      <w:tr w14:paraId="1CCB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69" w:type="dxa"/>
            <w:vAlign w:val="center"/>
          </w:tcPr>
          <w:p w14:paraId="6ADB3D85">
            <w:pPr>
              <w:spacing w:line="360" w:lineRule="auto"/>
              <w:jc w:val="center"/>
              <w:rPr>
                <w:rFonts w:ascii="宋体" w:hAnsi="宋体"/>
                <w:b/>
                <w:bCs/>
                <w:szCs w:val="24"/>
              </w:rPr>
            </w:pPr>
            <w:r>
              <w:rPr>
                <w:rFonts w:ascii="宋体" w:hAnsi="宋体" w:cs="宋体"/>
                <w:szCs w:val="24"/>
                <w:lang w:val="zh-CN"/>
              </w:rPr>
              <w:t>交付物要求</w:t>
            </w:r>
          </w:p>
        </w:tc>
        <w:tc>
          <w:tcPr>
            <w:tcW w:w="6727" w:type="dxa"/>
            <w:vAlign w:val="center"/>
          </w:tcPr>
          <w:p w14:paraId="1077F86F">
            <w:pPr>
              <w:jc w:val="left"/>
              <w:rPr>
                <w:rFonts w:ascii="宋体" w:hAnsi="宋体" w:cs="宋体"/>
                <w:szCs w:val="24"/>
                <w:lang w:val="zh-CN"/>
              </w:rPr>
            </w:pPr>
            <w:r>
              <w:rPr>
                <w:rFonts w:ascii="宋体" w:hAnsi="宋体" w:cs="宋体"/>
                <w:szCs w:val="24"/>
                <w:lang w:val="zh-CN"/>
              </w:rPr>
              <w:t>提供现场服务报告，包括维护记录、备品备件更换记录、故障分析和解决报告；</w:t>
            </w:r>
          </w:p>
          <w:p w14:paraId="77D40B87">
            <w:pPr>
              <w:spacing w:line="360" w:lineRule="auto"/>
              <w:rPr>
                <w:rFonts w:ascii="宋体" w:hAnsi="宋体"/>
                <w:szCs w:val="24"/>
              </w:rPr>
            </w:pPr>
            <w:r>
              <w:rPr>
                <w:rFonts w:hint="eastAsia" w:ascii="宋体" w:hAnsi="宋体" w:cs="宋体"/>
                <w:szCs w:val="24"/>
                <w:lang w:val="zh-CN"/>
              </w:rPr>
              <w:t>提供巡检服务报告，包括机房空调系统运行情况报告；</w:t>
            </w:r>
          </w:p>
        </w:tc>
      </w:tr>
    </w:tbl>
    <w:p w14:paraId="7509EF6D">
      <w:bookmarkStart w:id="6" w:name="_GoBack"/>
      <w:bookmarkEnd w:id="6"/>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Book Antiqua">
    <w:panose1 w:val="02040602050305030304"/>
    <w:charset w:val="00"/>
    <w:family w:val="roman"/>
    <w:pitch w:val="default"/>
    <w:sig w:usb0="00000287" w:usb1="00000000" w:usb2="00000000" w:usb3="00000000" w:csb0="2000009F" w:csb1="DFD70000"/>
  </w:font>
  <w:font w:name="華康中楷體">
    <w:altName w:val="Arial Unicode MS"/>
    <w:panose1 w:val="00000000000000000000"/>
    <w:charset w:val="88"/>
    <w:family w:val="auto"/>
    <w:pitch w:val="default"/>
    <w:sig w:usb0="00000000" w:usb1="00000000" w:usb2="00000010" w:usb3="00000000" w:csb0="00100000" w:csb1="00000000"/>
  </w:font>
  <w:font w:name="Arial Unicode MS">
    <w:panose1 w:val="020B0604020202020204"/>
    <w:charset w:val="86"/>
    <w:family w:val="swiss"/>
    <w:pitch w:val="default"/>
    <w:sig w:usb0="FFFFFFFF" w:usb1="E9FFFFFF" w:usb2="0000003F" w:usb3="00000000" w:csb0="603F01FF" w:csb1="FFFF0000"/>
  </w:font>
  <w:font w:name="苹方-简 常规体">
    <w:altName w:val="Arial Unicode MS"/>
    <w:panose1 w:val="00000000000000000000"/>
    <w:charset w:val="86"/>
    <w:family w:val="swiss"/>
    <w:pitch w:val="default"/>
    <w:sig w:usb0="00000000" w:usb1="00000000" w:usb2="00000017" w:usb3="00000000" w:csb0="00040001" w:csb1="00000000"/>
  </w:font>
  <w:font w:name="楷体_GB2312">
    <w:panose1 w:val="02010609030101010101"/>
    <w:charset w:val="86"/>
    <w:family w:val="swiss"/>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7786687"/>
    </w:sdtPr>
    <w:sdtContent>
      <w:p w14:paraId="3C792276">
        <w:pPr>
          <w:pStyle w:val="28"/>
          <w:jc w:val="center"/>
        </w:pPr>
        <w:r>
          <w:fldChar w:fldCharType="begin"/>
        </w:r>
        <w:r>
          <w:instrText xml:space="preserve">PAGE   \* MERGEFORMAT</w:instrText>
        </w:r>
        <w:r>
          <w:fldChar w:fldCharType="separate"/>
        </w:r>
        <w:r>
          <w:rPr>
            <w:lang w:val="zh-CN"/>
          </w:rPr>
          <w:t>55</w:t>
        </w:r>
        <w:r>
          <w:fldChar w:fldCharType="end"/>
        </w:r>
      </w:p>
    </w:sdtContent>
  </w:sdt>
  <w:p w14:paraId="0E2BE781">
    <w:pPr>
      <w:pStyle w:val="2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120"/>
    <w:multiLevelType w:val="multilevel"/>
    <w:tmpl w:val="00000120"/>
    <w:lvl w:ilvl="0" w:tentative="0">
      <w:start w:val="1"/>
      <w:numFmt w:val="bullet"/>
      <w:pStyle w:val="275"/>
      <w:lvlText w:val=""/>
      <w:lvlJc w:val="left"/>
      <w:pPr>
        <w:ind w:left="770" w:hanging="420"/>
      </w:pPr>
      <w:rPr>
        <w:rFonts w:hint="default" w:ascii="Wingdings" w:hAnsi="Wingdings"/>
      </w:rPr>
    </w:lvl>
    <w:lvl w:ilvl="1" w:tentative="0">
      <w:start w:val="1"/>
      <w:numFmt w:val="bullet"/>
      <w:lvlText w:val=""/>
      <w:lvlJc w:val="left"/>
      <w:pPr>
        <w:ind w:left="1190" w:hanging="420"/>
      </w:pPr>
      <w:rPr>
        <w:rFonts w:hint="default" w:ascii="Wingdings" w:hAnsi="Wingdings"/>
      </w:rPr>
    </w:lvl>
    <w:lvl w:ilvl="2" w:tentative="0">
      <w:start w:val="1"/>
      <w:numFmt w:val="bullet"/>
      <w:lvlText w:val=""/>
      <w:lvlJc w:val="left"/>
      <w:pPr>
        <w:ind w:left="1610" w:hanging="420"/>
      </w:pPr>
      <w:rPr>
        <w:rFonts w:hint="default" w:ascii="Wingdings" w:hAnsi="Wingdings"/>
      </w:rPr>
    </w:lvl>
    <w:lvl w:ilvl="3" w:tentative="0">
      <w:start w:val="1"/>
      <w:numFmt w:val="bullet"/>
      <w:lvlText w:val=""/>
      <w:lvlJc w:val="left"/>
      <w:pPr>
        <w:ind w:left="2030" w:hanging="420"/>
      </w:pPr>
      <w:rPr>
        <w:rFonts w:hint="default" w:ascii="Wingdings" w:hAnsi="Wingdings"/>
      </w:rPr>
    </w:lvl>
    <w:lvl w:ilvl="4" w:tentative="0">
      <w:start w:val="1"/>
      <w:numFmt w:val="bullet"/>
      <w:lvlText w:val=""/>
      <w:lvlJc w:val="left"/>
      <w:pPr>
        <w:ind w:left="2450" w:hanging="420"/>
      </w:pPr>
      <w:rPr>
        <w:rFonts w:hint="default" w:ascii="Wingdings" w:hAnsi="Wingdings"/>
      </w:rPr>
    </w:lvl>
    <w:lvl w:ilvl="5" w:tentative="0">
      <w:start w:val="1"/>
      <w:numFmt w:val="bullet"/>
      <w:lvlText w:val=""/>
      <w:lvlJc w:val="left"/>
      <w:pPr>
        <w:ind w:left="2870" w:hanging="420"/>
      </w:pPr>
      <w:rPr>
        <w:rFonts w:hint="default" w:ascii="Wingdings" w:hAnsi="Wingdings"/>
      </w:rPr>
    </w:lvl>
    <w:lvl w:ilvl="6" w:tentative="0">
      <w:start w:val="1"/>
      <w:numFmt w:val="bullet"/>
      <w:lvlText w:val=""/>
      <w:lvlJc w:val="left"/>
      <w:pPr>
        <w:ind w:left="3290" w:hanging="420"/>
      </w:pPr>
      <w:rPr>
        <w:rFonts w:hint="default" w:ascii="Wingdings" w:hAnsi="Wingdings"/>
      </w:rPr>
    </w:lvl>
    <w:lvl w:ilvl="7" w:tentative="0">
      <w:start w:val="1"/>
      <w:numFmt w:val="bullet"/>
      <w:lvlText w:val=""/>
      <w:lvlJc w:val="left"/>
      <w:pPr>
        <w:ind w:left="3710" w:hanging="420"/>
      </w:pPr>
      <w:rPr>
        <w:rFonts w:hint="default" w:ascii="Wingdings" w:hAnsi="Wingdings"/>
      </w:rPr>
    </w:lvl>
    <w:lvl w:ilvl="8" w:tentative="0">
      <w:start w:val="1"/>
      <w:numFmt w:val="bullet"/>
      <w:lvlText w:val=""/>
      <w:lvlJc w:val="left"/>
      <w:pPr>
        <w:ind w:left="4130" w:hanging="420"/>
      </w:pPr>
      <w:rPr>
        <w:rFonts w:hint="default" w:ascii="Wingdings" w:hAnsi="Wingdings"/>
      </w:rPr>
    </w:lvl>
  </w:abstractNum>
  <w:abstractNum w:abstractNumId="1">
    <w:nsid w:val="048E585D"/>
    <w:multiLevelType w:val="multilevel"/>
    <w:tmpl w:val="048E585D"/>
    <w:lvl w:ilvl="0" w:tentative="0">
      <w:start w:val="1"/>
      <w:numFmt w:val="decimal"/>
      <w:lvlText w:val="%1"/>
      <w:lvlJc w:val="left"/>
      <w:pPr>
        <w:ind w:left="425" w:hanging="425"/>
      </w:pPr>
    </w:lvl>
    <w:lvl w:ilvl="1" w:tentative="0">
      <w:start w:val="1"/>
      <w:numFmt w:val="decimal"/>
      <w:pStyle w:val="221"/>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1C3972C1"/>
    <w:multiLevelType w:val="multilevel"/>
    <w:tmpl w:val="1C3972C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D1466A9"/>
    <w:multiLevelType w:val="multilevel"/>
    <w:tmpl w:val="3D1466A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F636D03"/>
    <w:multiLevelType w:val="multilevel"/>
    <w:tmpl w:val="3F636D03"/>
    <w:lvl w:ilvl="0" w:tentative="0">
      <w:start w:val="1"/>
      <w:numFmt w:val="decimal"/>
      <w:pStyle w:val="1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pStyle w:val="166"/>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5">
    <w:nsid w:val="5EED02CA"/>
    <w:multiLevelType w:val="multilevel"/>
    <w:tmpl w:val="5EED02CA"/>
    <w:lvl w:ilvl="0" w:tentative="0">
      <w:start w:val="1"/>
      <w:numFmt w:val="chineseCountingThousand"/>
      <w:pStyle w:val="2"/>
      <w:suff w:val="space"/>
      <w:lvlText w:val="第%1章"/>
      <w:lvlJc w:val="left"/>
      <w:pPr>
        <w:ind w:left="0" w:firstLine="0"/>
      </w:pPr>
      <w:rPr>
        <w:rFonts w:hint="eastAsia"/>
      </w:rPr>
    </w:lvl>
    <w:lvl w:ilvl="1" w:tentative="0">
      <w:start w:val="1"/>
      <w:numFmt w:val="decimal"/>
      <w:pStyle w:val="3"/>
      <w:isLgl/>
      <w:suff w:val="space"/>
      <w:lvlText w:val="%1.%2"/>
      <w:lvlJc w:val="left"/>
      <w:pPr>
        <w:ind w:left="0" w:firstLine="0"/>
      </w:pPr>
      <w:rPr>
        <w:rFonts w:hint="default" w:ascii="Times New Roman" w:hAnsi="Times New Roman" w:eastAsia="宋体" w:cs="Times New Roman"/>
      </w:rPr>
    </w:lvl>
    <w:lvl w:ilvl="2" w:tentative="0">
      <w:start w:val="1"/>
      <w:numFmt w:val="decimal"/>
      <w:pStyle w:val="4"/>
      <w:isLgl/>
      <w:suff w:val="space"/>
      <w:lvlText w:val="%1.%2.%3"/>
      <w:lvlJc w:val="left"/>
      <w:pPr>
        <w:ind w:left="0" w:firstLine="0"/>
      </w:pPr>
      <w:rPr>
        <w:rFonts w:hint="default" w:ascii="Times New Roman" w:hAnsi="Times New Roman" w:eastAsia="宋体" w:cs="Times New Roman"/>
      </w:rPr>
    </w:lvl>
    <w:lvl w:ilvl="3" w:tentative="0">
      <w:start w:val="1"/>
      <w:numFmt w:val="decimal"/>
      <w:pStyle w:val="5"/>
      <w:isLgl/>
      <w:suff w:val="space"/>
      <w:lvlText w:val="%1.%2.%3.%4"/>
      <w:lvlJc w:val="left"/>
      <w:pPr>
        <w:ind w:left="0" w:firstLine="0"/>
      </w:pPr>
      <w:rPr>
        <w:rFonts w:hint="default" w:ascii="Times New Roman" w:hAnsi="Times New Roman" w:eastAsia="宋体" w:cs="Times New Roman"/>
      </w:rPr>
    </w:lvl>
    <w:lvl w:ilvl="4" w:tentative="0">
      <w:start w:val="1"/>
      <w:numFmt w:val="decimal"/>
      <w:pStyle w:val="6"/>
      <w:isLgl/>
      <w:suff w:val="space"/>
      <w:lvlText w:val="%1.%2.%3.%4.%5"/>
      <w:lvlJc w:val="left"/>
      <w:pPr>
        <w:ind w:left="0" w:firstLine="0"/>
      </w:pPr>
      <w:rPr>
        <w:rFonts w:hint="eastAsia"/>
      </w:rPr>
    </w:lvl>
    <w:lvl w:ilvl="5" w:tentative="0">
      <w:start w:val="1"/>
      <w:numFmt w:val="decimal"/>
      <w:pStyle w:val="7"/>
      <w:isLgl/>
      <w:suff w:val="nothing"/>
      <w:lvlText w:val="%1.%2.%3.%4.%5.%6"/>
      <w:lvlJc w:val="left"/>
      <w:pPr>
        <w:ind w:left="960" w:firstLine="0"/>
      </w:pPr>
      <w:rPr>
        <w:rFonts w:hint="eastAsia"/>
      </w:rPr>
    </w:lvl>
    <w:lvl w:ilvl="6" w:tentative="0">
      <w:start w:val="1"/>
      <w:numFmt w:val="decimal"/>
      <w:pStyle w:val="8"/>
      <w:isLgl/>
      <w:suff w:val="nothing"/>
      <w:lvlText w:val="%1.%2.%3.%4.%5.%6.%7"/>
      <w:lvlJc w:val="left"/>
      <w:pPr>
        <w:ind w:left="0" w:firstLine="0"/>
      </w:pPr>
      <w:rPr>
        <w:rFonts w:hint="eastAsia" w:ascii="宋体" w:hAnsi="宋体" w:eastAsia="宋体"/>
      </w:rPr>
    </w:lvl>
    <w:lvl w:ilvl="7" w:tentative="0">
      <w:start w:val="1"/>
      <w:numFmt w:val="decimal"/>
      <w:pStyle w:val="9"/>
      <w:isLgl/>
      <w:suff w:val="nothing"/>
      <w:lvlText w:val="%1.%2.%3.%4.%5.%6.%7.%8"/>
      <w:lvlJc w:val="left"/>
      <w:pPr>
        <w:ind w:left="0" w:firstLine="0"/>
      </w:pPr>
      <w:rPr>
        <w:rFonts w:hint="eastAsia" w:asciiTheme="minorEastAsia" w:hAnsiTheme="minorEastAsia" w:eastAsiaTheme="minorEastAsia"/>
      </w:rPr>
    </w:lvl>
    <w:lvl w:ilvl="8" w:tentative="0">
      <w:start w:val="1"/>
      <w:numFmt w:val="none"/>
      <w:pStyle w:val="10"/>
      <w:suff w:val="nothing"/>
      <w:lvlText w:val=""/>
      <w:lvlJc w:val="left"/>
      <w:pPr>
        <w:ind w:left="0" w:firstLine="0"/>
      </w:pPr>
      <w:rPr>
        <w:rFonts w:hint="eastAsia"/>
      </w:rPr>
    </w:lvl>
  </w:abstractNum>
  <w:abstractNum w:abstractNumId="6">
    <w:nsid w:val="60902C7E"/>
    <w:multiLevelType w:val="multilevel"/>
    <w:tmpl w:val="60902C7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5A6702E"/>
    <w:multiLevelType w:val="multilevel"/>
    <w:tmpl w:val="65A6702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84B435E"/>
    <w:multiLevelType w:val="multilevel"/>
    <w:tmpl w:val="684B435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F43263C"/>
    <w:multiLevelType w:val="multilevel"/>
    <w:tmpl w:val="6F43263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8"/>
  </w:num>
  <w:num w:numId="7">
    <w:abstractNumId w:val="9"/>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042"/>
    <w:rsid w:val="000058E7"/>
    <w:rsid w:val="00012B5E"/>
    <w:rsid w:val="00031051"/>
    <w:rsid w:val="00037157"/>
    <w:rsid w:val="0004794A"/>
    <w:rsid w:val="0007254E"/>
    <w:rsid w:val="00081065"/>
    <w:rsid w:val="00090D73"/>
    <w:rsid w:val="000971CA"/>
    <w:rsid w:val="000A09CA"/>
    <w:rsid w:val="000A1D4B"/>
    <w:rsid w:val="000A4271"/>
    <w:rsid w:val="000A5103"/>
    <w:rsid w:val="000B753F"/>
    <w:rsid w:val="000C1750"/>
    <w:rsid w:val="000D5B07"/>
    <w:rsid w:val="000D7ECE"/>
    <w:rsid w:val="000E1F87"/>
    <w:rsid w:val="000E322F"/>
    <w:rsid w:val="000E604A"/>
    <w:rsid w:val="000E7478"/>
    <w:rsid w:val="000E786E"/>
    <w:rsid w:val="000E7F77"/>
    <w:rsid w:val="0011092E"/>
    <w:rsid w:val="00112888"/>
    <w:rsid w:val="00126C71"/>
    <w:rsid w:val="00152D70"/>
    <w:rsid w:val="0015381A"/>
    <w:rsid w:val="00154A60"/>
    <w:rsid w:val="001551F6"/>
    <w:rsid w:val="00166DBF"/>
    <w:rsid w:val="00172130"/>
    <w:rsid w:val="00172F7F"/>
    <w:rsid w:val="00175B95"/>
    <w:rsid w:val="00184F21"/>
    <w:rsid w:val="001861D6"/>
    <w:rsid w:val="00194CE4"/>
    <w:rsid w:val="00196C92"/>
    <w:rsid w:val="00197EEB"/>
    <w:rsid w:val="001A3DF0"/>
    <w:rsid w:val="001B4727"/>
    <w:rsid w:val="001B6B8A"/>
    <w:rsid w:val="001D4462"/>
    <w:rsid w:val="001D6B09"/>
    <w:rsid w:val="001F3997"/>
    <w:rsid w:val="00212DFF"/>
    <w:rsid w:val="00216CC0"/>
    <w:rsid w:val="002303E0"/>
    <w:rsid w:val="00232D65"/>
    <w:rsid w:val="002416FA"/>
    <w:rsid w:val="002445B7"/>
    <w:rsid w:val="002522B6"/>
    <w:rsid w:val="00252B8B"/>
    <w:rsid w:val="0026104E"/>
    <w:rsid w:val="00261539"/>
    <w:rsid w:val="00264686"/>
    <w:rsid w:val="00274C50"/>
    <w:rsid w:val="00286CF3"/>
    <w:rsid w:val="00291924"/>
    <w:rsid w:val="00294D54"/>
    <w:rsid w:val="002C4774"/>
    <w:rsid w:val="002C48F3"/>
    <w:rsid w:val="002C4E7F"/>
    <w:rsid w:val="002C5A4A"/>
    <w:rsid w:val="002D3EEF"/>
    <w:rsid w:val="002D4675"/>
    <w:rsid w:val="002F0883"/>
    <w:rsid w:val="002F0D70"/>
    <w:rsid w:val="002F1D72"/>
    <w:rsid w:val="002F25D2"/>
    <w:rsid w:val="002F5340"/>
    <w:rsid w:val="0030357A"/>
    <w:rsid w:val="003106A2"/>
    <w:rsid w:val="003106FC"/>
    <w:rsid w:val="00320109"/>
    <w:rsid w:val="0034344F"/>
    <w:rsid w:val="00347AB2"/>
    <w:rsid w:val="00354E5C"/>
    <w:rsid w:val="00360ED6"/>
    <w:rsid w:val="00377322"/>
    <w:rsid w:val="00385505"/>
    <w:rsid w:val="003A72E1"/>
    <w:rsid w:val="003C4D21"/>
    <w:rsid w:val="003C59B2"/>
    <w:rsid w:val="003D1CD0"/>
    <w:rsid w:val="003E0206"/>
    <w:rsid w:val="003E6682"/>
    <w:rsid w:val="003F536B"/>
    <w:rsid w:val="003F7D27"/>
    <w:rsid w:val="004125BD"/>
    <w:rsid w:val="0041785D"/>
    <w:rsid w:val="0042782B"/>
    <w:rsid w:val="004358C0"/>
    <w:rsid w:val="0044790B"/>
    <w:rsid w:val="00472402"/>
    <w:rsid w:val="00472FC7"/>
    <w:rsid w:val="00474FB8"/>
    <w:rsid w:val="004958AA"/>
    <w:rsid w:val="00495F43"/>
    <w:rsid w:val="0049725A"/>
    <w:rsid w:val="00497A7F"/>
    <w:rsid w:val="004A03A5"/>
    <w:rsid w:val="004A3CDA"/>
    <w:rsid w:val="004A4097"/>
    <w:rsid w:val="004C1F61"/>
    <w:rsid w:val="004D5341"/>
    <w:rsid w:val="004E1241"/>
    <w:rsid w:val="004E2CD9"/>
    <w:rsid w:val="004E327F"/>
    <w:rsid w:val="004E37EA"/>
    <w:rsid w:val="004E5115"/>
    <w:rsid w:val="004E59D4"/>
    <w:rsid w:val="005111CC"/>
    <w:rsid w:val="00512761"/>
    <w:rsid w:val="0052553B"/>
    <w:rsid w:val="00562951"/>
    <w:rsid w:val="00580AAA"/>
    <w:rsid w:val="00583D4F"/>
    <w:rsid w:val="00585437"/>
    <w:rsid w:val="00594237"/>
    <w:rsid w:val="005A18CC"/>
    <w:rsid w:val="005B3184"/>
    <w:rsid w:val="005B3B3A"/>
    <w:rsid w:val="005B3D77"/>
    <w:rsid w:val="005C1C4E"/>
    <w:rsid w:val="005C4EA2"/>
    <w:rsid w:val="005E226E"/>
    <w:rsid w:val="005F5B67"/>
    <w:rsid w:val="00603BD5"/>
    <w:rsid w:val="006124D4"/>
    <w:rsid w:val="00616DE8"/>
    <w:rsid w:val="00625852"/>
    <w:rsid w:val="006258E2"/>
    <w:rsid w:val="00634371"/>
    <w:rsid w:val="00634BD5"/>
    <w:rsid w:val="00645015"/>
    <w:rsid w:val="00660B89"/>
    <w:rsid w:val="00663C8D"/>
    <w:rsid w:val="0067208A"/>
    <w:rsid w:val="006837DE"/>
    <w:rsid w:val="0068758B"/>
    <w:rsid w:val="00695C25"/>
    <w:rsid w:val="006A3859"/>
    <w:rsid w:val="006C089F"/>
    <w:rsid w:val="006C3BBD"/>
    <w:rsid w:val="006C65A2"/>
    <w:rsid w:val="006C6610"/>
    <w:rsid w:val="006F6B7D"/>
    <w:rsid w:val="007105D3"/>
    <w:rsid w:val="00720710"/>
    <w:rsid w:val="00731E23"/>
    <w:rsid w:val="00741F47"/>
    <w:rsid w:val="0075428E"/>
    <w:rsid w:val="00754F52"/>
    <w:rsid w:val="007666EC"/>
    <w:rsid w:val="00770B38"/>
    <w:rsid w:val="00782AAB"/>
    <w:rsid w:val="007A6A19"/>
    <w:rsid w:val="007B50B7"/>
    <w:rsid w:val="007B7507"/>
    <w:rsid w:val="007D1F51"/>
    <w:rsid w:val="007D5BD0"/>
    <w:rsid w:val="007E69C1"/>
    <w:rsid w:val="007F4658"/>
    <w:rsid w:val="00805DB8"/>
    <w:rsid w:val="00810451"/>
    <w:rsid w:val="00832F4C"/>
    <w:rsid w:val="008375CC"/>
    <w:rsid w:val="008400B6"/>
    <w:rsid w:val="0084287E"/>
    <w:rsid w:val="008557E5"/>
    <w:rsid w:val="00873525"/>
    <w:rsid w:val="008830DB"/>
    <w:rsid w:val="00895F81"/>
    <w:rsid w:val="008B1EC1"/>
    <w:rsid w:val="008D2490"/>
    <w:rsid w:val="008E3E58"/>
    <w:rsid w:val="008F332F"/>
    <w:rsid w:val="00912DE0"/>
    <w:rsid w:val="00925105"/>
    <w:rsid w:val="00936D77"/>
    <w:rsid w:val="00940DB1"/>
    <w:rsid w:val="00942BAA"/>
    <w:rsid w:val="009530C0"/>
    <w:rsid w:val="00954C54"/>
    <w:rsid w:val="009572AC"/>
    <w:rsid w:val="00960ACB"/>
    <w:rsid w:val="00966C8C"/>
    <w:rsid w:val="00980F1C"/>
    <w:rsid w:val="009818F7"/>
    <w:rsid w:val="0098570B"/>
    <w:rsid w:val="0099346B"/>
    <w:rsid w:val="009A1159"/>
    <w:rsid w:val="009A32FD"/>
    <w:rsid w:val="009A4042"/>
    <w:rsid w:val="009B06F7"/>
    <w:rsid w:val="009B40CA"/>
    <w:rsid w:val="009C5230"/>
    <w:rsid w:val="009D5626"/>
    <w:rsid w:val="009E7C4D"/>
    <w:rsid w:val="00A06A19"/>
    <w:rsid w:val="00A07501"/>
    <w:rsid w:val="00A14159"/>
    <w:rsid w:val="00A15A86"/>
    <w:rsid w:val="00A42042"/>
    <w:rsid w:val="00A741D4"/>
    <w:rsid w:val="00A83994"/>
    <w:rsid w:val="00A90EEA"/>
    <w:rsid w:val="00A934A3"/>
    <w:rsid w:val="00A94C4C"/>
    <w:rsid w:val="00AA4763"/>
    <w:rsid w:val="00AA6218"/>
    <w:rsid w:val="00AB549E"/>
    <w:rsid w:val="00AB565E"/>
    <w:rsid w:val="00AB6683"/>
    <w:rsid w:val="00AC77D8"/>
    <w:rsid w:val="00AD53CE"/>
    <w:rsid w:val="00AE7802"/>
    <w:rsid w:val="00B01160"/>
    <w:rsid w:val="00B05649"/>
    <w:rsid w:val="00B10A67"/>
    <w:rsid w:val="00B25C34"/>
    <w:rsid w:val="00B268F5"/>
    <w:rsid w:val="00B3490B"/>
    <w:rsid w:val="00B54B6C"/>
    <w:rsid w:val="00B806CE"/>
    <w:rsid w:val="00B863F4"/>
    <w:rsid w:val="00B956D8"/>
    <w:rsid w:val="00B9727B"/>
    <w:rsid w:val="00BA0CBF"/>
    <w:rsid w:val="00BA6B0F"/>
    <w:rsid w:val="00BB7F40"/>
    <w:rsid w:val="00BC5844"/>
    <w:rsid w:val="00BC674F"/>
    <w:rsid w:val="00BC67D2"/>
    <w:rsid w:val="00BD2AAE"/>
    <w:rsid w:val="00BE2732"/>
    <w:rsid w:val="00BE481B"/>
    <w:rsid w:val="00BE7936"/>
    <w:rsid w:val="00C2255F"/>
    <w:rsid w:val="00C31A19"/>
    <w:rsid w:val="00C60AE4"/>
    <w:rsid w:val="00C7423B"/>
    <w:rsid w:val="00C77715"/>
    <w:rsid w:val="00C77E6A"/>
    <w:rsid w:val="00C846E5"/>
    <w:rsid w:val="00C93764"/>
    <w:rsid w:val="00CA7FF8"/>
    <w:rsid w:val="00CC073D"/>
    <w:rsid w:val="00CD1926"/>
    <w:rsid w:val="00CD4AB3"/>
    <w:rsid w:val="00CD56D7"/>
    <w:rsid w:val="00CE0545"/>
    <w:rsid w:val="00CF1800"/>
    <w:rsid w:val="00CF7F45"/>
    <w:rsid w:val="00D22DDD"/>
    <w:rsid w:val="00D234A9"/>
    <w:rsid w:val="00D37355"/>
    <w:rsid w:val="00D37A91"/>
    <w:rsid w:val="00D66A28"/>
    <w:rsid w:val="00D772BA"/>
    <w:rsid w:val="00DA1AFB"/>
    <w:rsid w:val="00DB5DB3"/>
    <w:rsid w:val="00DE0218"/>
    <w:rsid w:val="00DF71FB"/>
    <w:rsid w:val="00E15940"/>
    <w:rsid w:val="00E22424"/>
    <w:rsid w:val="00E22FF0"/>
    <w:rsid w:val="00E334C7"/>
    <w:rsid w:val="00E3379F"/>
    <w:rsid w:val="00E366E3"/>
    <w:rsid w:val="00E4567A"/>
    <w:rsid w:val="00E562D7"/>
    <w:rsid w:val="00E56D98"/>
    <w:rsid w:val="00E61B15"/>
    <w:rsid w:val="00E62633"/>
    <w:rsid w:val="00E674AE"/>
    <w:rsid w:val="00E831EC"/>
    <w:rsid w:val="00E91FC9"/>
    <w:rsid w:val="00EA7018"/>
    <w:rsid w:val="00EB403E"/>
    <w:rsid w:val="00EB4AF7"/>
    <w:rsid w:val="00EC44F8"/>
    <w:rsid w:val="00ED4E7B"/>
    <w:rsid w:val="00EE103F"/>
    <w:rsid w:val="00F07036"/>
    <w:rsid w:val="00F311E3"/>
    <w:rsid w:val="00F3663D"/>
    <w:rsid w:val="00F36E70"/>
    <w:rsid w:val="00F504FE"/>
    <w:rsid w:val="00F523F7"/>
    <w:rsid w:val="00F66894"/>
    <w:rsid w:val="00F74FFF"/>
    <w:rsid w:val="00F77ACF"/>
    <w:rsid w:val="00F802AC"/>
    <w:rsid w:val="00F81279"/>
    <w:rsid w:val="00F879F5"/>
    <w:rsid w:val="00F95686"/>
    <w:rsid w:val="00FB0E59"/>
    <w:rsid w:val="00FB60D1"/>
    <w:rsid w:val="00FC1EEF"/>
    <w:rsid w:val="00FD172D"/>
    <w:rsid w:val="00FD7466"/>
    <w:rsid w:val="00FE3691"/>
    <w:rsid w:val="00FE53E3"/>
    <w:rsid w:val="00FE6561"/>
    <w:rsid w:val="00FF18C6"/>
    <w:rsid w:val="01BF2575"/>
    <w:rsid w:val="049B14BA"/>
    <w:rsid w:val="04FF660C"/>
    <w:rsid w:val="05783D07"/>
    <w:rsid w:val="06DA401D"/>
    <w:rsid w:val="077C7554"/>
    <w:rsid w:val="09AC7FE8"/>
    <w:rsid w:val="0B2A2D4D"/>
    <w:rsid w:val="0C0753B5"/>
    <w:rsid w:val="0C941C7A"/>
    <w:rsid w:val="0E013A1B"/>
    <w:rsid w:val="0E9D46F7"/>
    <w:rsid w:val="146178FB"/>
    <w:rsid w:val="146B2E5F"/>
    <w:rsid w:val="16603269"/>
    <w:rsid w:val="17C647FB"/>
    <w:rsid w:val="19A327FB"/>
    <w:rsid w:val="1A4E6A17"/>
    <w:rsid w:val="1AB12326"/>
    <w:rsid w:val="1C36440B"/>
    <w:rsid w:val="1CC53350"/>
    <w:rsid w:val="1F023F8E"/>
    <w:rsid w:val="202512D1"/>
    <w:rsid w:val="23EC58F1"/>
    <w:rsid w:val="26FF32FB"/>
    <w:rsid w:val="297023A4"/>
    <w:rsid w:val="29A25083"/>
    <w:rsid w:val="2A394C42"/>
    <w:rsid w:val="2B946B48"/>
    <w:rsid w:val="2E815C91"/>
    <w:rsid w:val="2EB265F0"/>
    <w:rsid w:val="2F7543E0"/>
    <w:rsid w:val="31DA5D76"/>
    <w:rsid w:val="330D391E"/>
    <w:rsid w:val="333004D3"/>
    <w:rsid w:val="35947F96"/>
    <w:rsid w:val="363F225B"/>
    <w:rsid w:val="36D668C3"/>
    <w:rsid w:val="374D4FFA"/>
    <w:rsid w:val="38655DD5"/>
    <w:rsid w:val="38996436"/>
    <w:rsid w:val="38B56CDF"/>
    <w:rsid w:val="3E292BD3"/>
    <w:rsid w:val="3FA654FE"/>
    <w:rsid w:val="40035F6A"/>
    <w:rsid w:val="40646422"/>
    <w:rsid w:val="40B2352A"/>
    <w:rsid w:val="413B3370"/>
    <w:rsid w:val="415C4E5C"/>
    <w:rsid w:val="4265745F"/>
    <w:rsid w:val="43DE4309"/>
    <w:rsid w:val="43E85355"/>
    <w:rsid w:val="45357267"/>
    <w:rsid w:val="48D64CD6"/>
    <w:rsid w:val="4B276DCA"/>
    <w:rsid w:val="4C784EDF"/>
    <w:rsid w:val="4C877B26"/>
    <w:rsid w:val="4CC67257"/>
    <w:rsid w:val="4D957BAB"/>
    <w:rsid w:val="4DAA7BD6"/>
    <w:rsid w:val="4E076B26"/>
    <w:rsid w:val="4E724846"/>
    <w:rsid w:val="506C7297"/>
    <w:rsid w:val="508B63C4"/>
    <w:rsid w:val="5096518B"/>
    <w:rsid w:val="5403064F"/>
    <w:rsid w:val="552D2038"/>
    <w:rsid w:val="554C00CC"/>
    <w:rsid w:val="583813A3"/>
    <w:rsid w:val="58F56984"/>
    <w:rsid w:val="597D5E8E"/>
    <w:rsid w:val="5985688C"/>
    <w:rsid w:val="5B7C4529"/>
    <w:rsid w:val="5BA52223"/>
    <w:rsid w:val="5D8A06F8"/>
    <w:rsid w:val="5E1F438A"/>
    <w:rsid w:val="5E50086A"/>
    <w:rsid w:val="5F2D35FE"/>
    <w:rsid w:val="6398397C"/>
    <w:rsid w:val="63AF7405"/>
    <w:rsid w:val="646C5861"/>
    <w:rsid w:val="65D84C42"/>
    <w:rsid w:val="65DE0621"/>
    <w:rsid w:val="676F3B9A"/>
    <w:rsid w:val="67D710EA"/>
    <w:rsid w:val="683F47E7"/>
    <w:rsid w:val="697E45D0"/>
    <w:rsid w:val="69872FFD"/>
    <w:rsid w:val="69BC0D81"/>
    <w:rsid w:val="6AD42B52"/>
    <w:rsid w:val="6AEE5BE8"/>
    <w:rsid w:val="6C801696"/>
    <w:rsid w:val="6D91257B"/>
    <w:rsid w:val="6E306530"/>
    <w:rsid w:val="6FB32880"/>
    <w:rsid w:val="6FCD7888"/>
    <w:rsid w:val="6FD8519F"/>
    <w:rsid w:val="701B2D9A"/>
    <w:rsid w:val="712E18F5"/>
    <w:rsid w:val="71300C32"/>
    <w:rsid w:val="719E3F98"/>
    <w:rsid w:val="73EE6035"/>
    <w:rsid w:val="765C34BE"/>
    <w:rsid w:val="784C1008"/>
    <w:rsid w:val="79F74803"/>
    <w:rsid w:val="7AB911A4"/>
    <w:rsid w:val="7B786ECB"/>
    <w:rsid w:val="7BE72C32"/>
    <w:rsid w:val="7CCD3E48"/>
    <w:rsid w:val="7DE73BC6"/>
    <w:rsid w:val="7E5D46AA"/>
    <w:rsid w:val="7F297120"/>
    <w:rsid w:val="7FBF3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qFormat="1" w:unhideWhenUsed="0" w:uiPriority="0" w:semiHidden="0"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iPriority="99"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nhideWhenUsed="0" w:uiPriority="99"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eastAsia="宋体" w:asciiTheme="minorHAnsi" w:hAnsiTheme="minorHAnsi" w:cstheme="minorBidi"/>
      <w:kern w:val="2"/>
      <w:sz w:val="24"/>
      <w:szCs w:val="22"/>
      <w:lang w:val="en-US" w:eastAsia="zh-CN" w:bidi="ar-SA"/>
      <w14:ligatures w14:val="standardContextual"/>
    </w:rPr>
  </w:style>
  <w:style w:type="paragraph" w:styleId="2">
    <w:name w:val="heading 1"/>
    <w:basedOn w:val="1"/>
    <w:next w:val="1"/>
    <w:link w:val="53"/>
    <w:qFormat/>
    <w:uiPriority w:val="9"/>
    <w:pPr>
      <w:keepNext/>
      <w:keepLines/>
      <w:numPr>
        <w:ilvl w:val="0"/>
        <w:numId w:val="1"/>
      </w:numPr>
      <w:spacing w:before="480" w:after="80"/>
      <w:outlineLvl w:val="0"/>
    </w:pPr>
    <w:rPr>
      <w:rFonts w:asciiTheme="majorHAnsi" w:hAnsiTheme="majorHAnsi" w:cstheme="majorBidi"/>
      <w:sz w:val="48"/>
      <w:szCs w:val="48"/>
    </w:rPr>
  </w:style>
  <w:style w:type="paragraph" w:styleId="3">
    <w:name w:val="heading 2"/>
    <w:basedOn w:val="1"/>
    <w:next w:val="1"/>
    <w:link w:val="54"/>
    <w:unhideWhenUsed/>
    <w:qFormat/>
    <w:uiPriority w:val="9"/>
    <w:pPr>
      <w:keepNext/>
      <w:keepLines/>
      <w:numPr>
        <w:ilvl w:val="1"/>
        <w:numId w:val="1"/>
      </w:numPr>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55"/>
    <w:unhideWhenUsed/>
    <w:qFormat/>
    <w:uiPriority w:val="9"/>
    <w:pPr>
      <w:keepNext/>
      <w:keepLines/>
      <w:numPr>
        <w:ilvl w:val="2"/>
        <w:numId w:val="1"/>
      </w:numPr>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56"/>
    <w:unhideWhenUsed/>
    <w:qFormat/>
    <w:uiPriority w:val="9"/>
    <w:pPr>
      <w:keepNext/>
      <w:keepLines/>
      <w:numPr>
        <w:ilvl w:val="3"/>
        <w:numId w:val="1"/>
      </w:numPr>
      <w:spacing w:before="80" w:after="40"/>
      <w:outlineLvl w:val="3"/>
    </w:pPr>
    <w:rPr>
      <w:rFonts w:cstheme="majorBidi"/>
      <w:sz w:val="28"/>
      <w:szCs w:val="28"/>
    </w:rPr>
  </w:style>
  <w:style w:type="paragraph" w:styleId="6">
    <w:name w:val="heading 5"/>
    <w:basedOn w:val="1"/>
    <w:next w:val="1"/>
    <w:link w:val="57"/>
    <w:unhideWhenUsed/>
    <w:qFormat/>
    <w:uiPriority w:val="9"/>
    <w:pPr>
      <w:keepNext/>
      <w:keepLines/>
      <w:numPr>
        <w:ilvl w:val="4"/>
        <w:numId w:val="1"/>
      </w:numPr>
      <w:spacing w:before="80" w:after="40"/>
      <w:outlineLvl w:val="4"/>
    </w:pPr>
    <w:rPr>
      <w:rFonts w:cstheme="majorBidi"/>
      <w:color w:val="2F5597" w:themeColor="accent1" w:themeShade="BF"/>
    </w:rPr>
  </w:style>
  <w:style w:type="paragraph" w:styleId="7">
    <w:name w:val="heading 6"/>
    <w:basedOn w:val="1"/>
    <w:next w:val="1"/>
    <w:link w:val="58"/>
    <w:unhideWhenUsed/>
    <w:qFormat/>
    <w:uiPriority w:val="0"/>
    <w:pPr>
      <w:keepNext/>
      <w:keepLines/>
      <w:numPr>
        <w:ilvl w:val="5"/>
        <w:numId w:val="1"/>
      </w:numPr>
      <w:spacing w:before="40"/>
      <w:outlineLvl w:val="5"/>
    </w:pPr>
    <w:rPr>
      <w:rFonts w:cstheme="majorBidi"/>
      <w:b/>
      <w:bCs/>
      <w:color w:val="2F5597" w:themeColor="accent1" w:themeShade="BF"/>
    </w:rPr>
  </w:style>
  <w:style w:type="paragraph" w:styleId="8">
    <w:name w:val="heading 7"/>
    <w:basedOn w:val="1"/>
    <w:next w:val="1"/>
    <w:link w:val="59"/>
    <w:unhideWhenUsed/>
    <w:qFormat/>
    <w:uiPriority w:val="0"/>
    <w:pPr>
      <w:keepNext/>
      <w:keepLines/>
      <w:numPr>
        <w:ilvl w:val="6"/>
        <w:numId w:val="1"/>
      </w:numPr>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60"/>
    <w:unhideWhenUsed/>
    <w:qFormat/>
    <w:uiPriority w:val="0"/>
    <w:pPr>
      <w:keepNext/>
      <w:keepLines/>
      <w:numPr>
        <w:ilvl w:val="7"/>
        <w:numId w:val="1"/>
      </w:numPr>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61"/>
    <w:unhideWhenUsed/>
    <w:qFormat/>
    <w:uiPriority w:val="0"/>
    <w:pPr>
      <w:keepNext/>
      <w:keepLines/>
      <w:numPr>
        <w:ilvl w:val="8"/>
        <w:numId w:val="1"/>
      </w:numPr>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sz w:val="21"/>
      <w14:ligatures w14:val="none"/>
    </w:rPr>
  </w:style>
  <w:style w:type="paragraph" w:styleId="12">
    <w:name w:val="List Bullet 4"/>
    <w:basedOn w:val="1"/>
    <w:qFormat/>
    <w:uiPriority w:val="0"/>
    <w:pPr>
      <w:widowControl/>
      <w:tabs>
        <w:tab w:val="left" w:pos="720"/>
      </w:tabs>
      <w:adjustRightInd w:val="0"/>
      <w:snapToGrid w:val="0"/>
      <w:spacing w:beforeLines="25" w:afterLines="25" w:line="360" w:lineRule="auto"/>
      <w:ind w:left="720" w:hanging="720"/>
      <w:jc w:val="left"/>
    </w:pPr>
    <w:rPr>
      <w:rFonts w:ascii="Times New Roman" w:hAnsi="Times New Roman" w:cs="Times New Roman"/>
      <w:kern w:val="0"/>
      <w:szCs w:val="24"/>
      <w14:ligatures w14:val="none"/>
    </w:rPr>
  </w:style>
  <w:style w:type="paragraph" w:styleId="13">
    <w:name w:val="List Number"/>
    <w:basedOn w:val="1"/>
    <w:semiHidden/>
    <w:unhideWhenUsed/>
    <w:qFormat/>
    <w:uiPriority w:val="99"/>
    <w:pPr>
      <w:numPr>
        <w:ilvl w:val="0"/>
        <w:numId w:val="2"/>
      </w:numPr>
      <w:tabs>
        <w:tab w:val="clear" w:pos="720"/>
      </w:tabs>
      <w:spacing w:line="360" w:lineRule="auto"/>
      <w:ind w:left="0" w:firstLine="0" w:firstLineChars="200"/>
      <w:contextualSpacing/>
    </w:pPr>
    <w:rPr>
      <w:rFonts w:ascii="Calibri" w:hAnsi="Calibri" w:cs="Times New Roman"/>
      <w:sz w:val="21"/>
      <w14:ligatures w14:val="none"/>
    </w:rPr>
  </w:style>
  <w:style w:type="paragraph" w:styleId="14">
    <w:name w:val="Normal Indent"/>
    <w:link w:val="62"/>
    <w:unhideWhenUsed/>
    <w:qFormat/>
    <w:uiPriority w:val="0"/>
    <w:pPr>
      <w:widowControl w:val="0"/>
      <w:adjustRightInd w:val="0"/>
      <w:snapToGrid w:val="0"/>
      <w:spacing w:before="25" w:beforeLines="25" w:after="25" w:afterLines="25" w:line="360" w:lineRule="auto"/>
      <w:ind w:firstLine="420"/>
      <w:jc w:val="both"/>
    </w:pPr>
    <w:rPr>
      <w:rFonts w:ascii="Times New Roman" w:hAnsi="Times New Roman" w:eastAsia="宋体" w:cstheme="minorBidi"/>
      <w:kern w:val="2"/>
      <w:sz w:val="24"/>
      <w:szCs w:val="22"/>
      <w:lang w:val="en-US" w:eastAsia="zh-CN" w:bidi="ar-SA"/>
    </w:rPr>
  </w:style>
  <w:style w:type="paragraph" w:styleId="15">
    <w:name w:val="caption"/>
    <w:basedOn w:val="1"/>
    <w:next w:val="1"/>
    <w:unhideWhenUsed/>
    <w:qFormat/>
    <w:uiPriority w:val="35"/>
    <w:pPr>
      <w:adjustRightInd w:val="0"/>
      <w:snapToGrid w:val="0"/>
      <w:spacing w:before="50" w:beforeLines="50" w:after="50" w:afterLines="50" w:line="360" w:lineRule="auto"/>
      <w:jc w:val="center"/>
    </w:pPr>
    <w:rPr>
      <w:rFonts w:ascii="Times New Roman" w:hAnsi="Times New Roman" w:cstheme="majorBidi"/>
      <w:sz w:val="21"/>
      <w:szCs w:val="20"/>
      <w14:ligatures w14:val="none"/>
    </w:rPr>
  </w:style>
  <w:style w:type="paragraph" w:styleId="16">
    <w:name w:val="Document Map"/>
    <w:basedOn w:val="1"/>
    <w:link w:val="63"/>
    <w:semiHidden/>
    <w:unhideWhenUsed/>
    <w:qFormat/>
    <w:uiPriority w:val="99"/>
    <w:pPr>
      <w:adjustRightInd w:val="0"/>
      <w:snapToGrid w:val="0"/>
      <w:spacing w:before="25" w:beforeLines="25" w:after="25" w:afterLines="25" w:line="360" w:lineRule="auto"/>
    </w:pPr>
    <w:rPr>
      <w:rFonts w:ascii="Times New Roman" w:hAnsi="Times New Roman" w:cs="Times New Roman"/>
      <w:szCs w:val="24"/>
      <w14:ligatures w14:val="none"/>
    </w:rPr>
  </w:style>
  <w:style w:type="paragraph" w:styleId="17">
    <w:name w:val="toa heading"/>
    <w:basedOn w:val="1"/>
    <w:next w:val="1"/>
    <w:semiHidden/>
    <w:qFormat/>
    <w:uiPriority w:val="0"/>
    <w:pPr>
      <w:widowControl/>
      <w:adjustRightInd w:val="0"/>
      <w:snapToGrid w:val="0"/>
      <w:spacing w:before="120" w:beforeLines="25" w:afterLines="25" w:line="360" w:lineRule="auto"/>
      <w:jc w:val="left"/>
    </w:pPr>
    <w:rPr>
      <w:rFonts w:ascii="Arial" w:hAnsi="Arial" w:cs="Arial"/>
      <w:kern w:val="0"/>
      <w:szCs w:val="24"/>
      <w14:ligatures w14:val="none"/>
    </w:rPr>
  </w:style>
  <w:style w:type="paragraph" w:styleId="18">
    <w:name w:val="annotation text"/>
    <w:basedOn w:val="1"/>
    <w:link w:val="64"/>
    <w:unhideWhenUsed/>
    <w:qFormat/>
    <w:uiPriority w:val="99"/>
    <w:pPr>
      <w:jc w:val="left"/>
    </w:pPr>
  </w:style>
  <w:style w:type="paragraph" w:styleId="19">
    <w:name w:val="Body Text"/>
    <w:basedOn w:val="1"/>
    <w:link w:val="65"/>
    <w:qFormat/>
    <w:uiPriority w:val="0"/>
    <w:pPr>
      <w:widowControl/>
      <w:adjustRightInd w:val="0"/>
      <w:snapToGrid w:val="0"/>
      <w:spacing w:beforeLines="25" w:after="120" w:afterLines="25" w:line="360" w:lineRule="auto"/>
      <w:jc w:val="left"/>
    </w:pPr>
    <w:rPr>
      <w:rFonts w:ascii="Times New Roman" w:hAnsi="Times New Roman" w:cs="Times New Roman"/>
      <w:kern w:val="0"/>
      <w:szCs w:val="24"/>
      <w14:ligatures w14:val="none"/>
    </w:rPr>
  </w:style>
  <w:style w:type="paragraph" w:styleId="20">
    <w:name w:val="Body Text Indent"/>
    <w:basedOn w:val="1"/>
    <w:link w:val="66"/>
    <w:qFormat/>
    <w:uiPriority w:val="99"/>
    <w:pPr>
      <w:spacing w:line="360" w:lineRule="auto"/>
      <w:ind w:left="520"/>
    </w:pPr>
    <w:rPr>
      <w:rFonts w:ascii="宋体" w:hAnsi="宋体"/>
      <w14:ligatures w14:val="none"/>
    </w:rPr>
  </w:style>
  <w:style w:type="paragraph" w:styleId="21">
    <w:name w:val="toc 5"/>
    <w:basedOn w:val="1"/>
    <w:next w:val="1"/>
    <w:unhideWhenUsed/>
    <w:qFormat/>
    <w:uiPriority w:val="39"/>
    <w:pPr>
      <w:ind w:left="1680" w:leftChars="800"/>
    </w:pPr>
    <w:rPr>
      <w:sz w:val="21"/>
      <w14:ligatures w14:val="none"/>
    </w:rPr>
  </w:style>
  <w:style w:type="paragraph" w:styleId="22">
    <w:name w:val="toc 3"/>
    <w:basedOn w:val="1"/>
    <w:next w:val="1"/>
    <w:unhideWhenUsed/>
    <w:qFormat/>
    <w:uiPriority w:val="39"/>
    <w:pPr>
      <w:tabs>
        <w:tab w:val="right" w:pos="0"/>
        <w:tab w:val="left" w:pos="1680"/>
        <w:tab w:val="right" w:leader="dot" w:pos="9060"/>
      </w:tabs>
      <w:adjustRightInd w:val="0"/>
      <w:snapToGrid w:val="0"/>
      <w:spacing w:before="81" w:beforeLines="25" w:after="81" w:afterLines="25" w:line="360" w:lineRule="auto"/>
      <w:ind w:left="960" w:leftChars="400"/>
    </w:pPr>
    <w:rPr>
      <w:rFonts w:ascii="Times New Roman" w:hAnsi="Times New Roman"/>
      <w14:ligatures w14:val="none"/>
    </w:rPr>
  </w:style>
  <w:style w:type="paragraph" w:styleId="23">
    <w:name w:val="Plain Text"/>
    <w:basedOn w:val="1"/>
    <w:link w:val="67"/>
    <w:semiHidden/>
    <w:unhideWhenUsed/>
    <w:qFormat/>
    <w:uiPriority w:val="99"/>
    <w:rPr>
      <w:rFonts w:ascii="宋体" w:hAnsi="Courier New" w:cs="Courier New"/>
      <w:sz w:val="21"/>
      <w:szCs w:val="21"/>
      <w14:ligatures w14:val="none"/>
    </w:rPr>
  </w:style>
  <w:style w:type="paragraph" w:styleId="24">
    <w:name w:val="toc 8"/>
    <w:basedOn w:val="1"/>
    <w:next w:val="1"/>
    <w:unhideWhenUsed/>
    <w:qFormat/>
    <w:uiPriority w:val="39"/>
    <w:pPr>
      <w:ind w:left="2940" w:leftChars="1400"/>
    </w:pPr>
    <w:rPr>
      <w:sz w:val="21"/>
      <w14:ligatures w14:val="none"/>
    </w:rPr>
  </w:style>
  <w:style w:type="paragraph" w:styleId="25">
    <w:name w:val="Date"/>
    <w:basedOn w:val="1"/>
    <w:next w:val="1"/>
    <w:link w:val="68"/>
    <w:unhideWhenUsed/>
    <w:qFormat/>
    <w:uiPriority w:val="99"/>
    <w:pPr>
      <w:adjustRightInd w:val="0"/>
      <w:snapToGrid w:val="0"/>
      <w:spacing w:before="25" w:beforeLines="25" w:after="25" w:afterLines="25" w:line="360" w:lineRule="auto"/>
      <w:ind w:left="100" w:leftChars="2500"/>
    </w:pPr>
    <w:rPr>
      <w:rFonts w:ascii="Times New Roman" w:hAnsi="Times New Roman"/>
      <w14:ligatures w14:val="none"/>
    </w:rPr>
  </w:style>
  <w:style w:type="paragraph" w:styleId="26">
    <w:name w:val="Body Text Indent 2"/>
    <w:basedOn w:val="1"/>
    <w:link w:val="69"/>
    <w:qFormat/>
    <w:uiPriority w:val="99"/>
    <w:pPr>
      <w:spacing w:after="120" w:line="480" w:lineRule="auto"/>
      <w:ind w:left="420" w:leftChars="200"/>
    </w:pPr>
    <w:rPr>
      <w:rFonts w:eastAsiaTheme="minorEastAsia"/>
      <w:sz w:val="21"/>
      <w14:ligatures w14:val="none"/>
    </w:rPr>
  </w:style>
  <w:style w:type="paragraph" w:styleId="27">
    <w:name w:val="Balloon Text"/>
    <w:basedOn w:val="1"/>
    <w:link w:val="70"/>
    <w:unhideWhenUsed/>
    <w:qFormat/>
    <w:uiPriority w:val="99"/>
    <w:pPr>
      <w:adjustRightInd w:val="0"/>
      <w:snapToGrid w:val="0"/>
      <w:spacing w:before="25" w:beforeLines="25" w:after="25" w:afterLines="25" w:line="360" w:lineRule="auto"/>
    </w:pPr>
    <w:rPr>
      <w:rFonts w:ascii="Times New Roman" w:hAnsi="Times New Roman"/>
      <w:sz w:val="18"/>
      <w:szCs w:val="18"/>
      <w14:ligatures w14:val="none"/>
    </w:rPr>
  </w:style>
  <w:style w:type="paragraph" w:styleId="28">
    <w:name w:val="footer"/>
    <w:basedOn w:val="1"/>
    <w:link w:val="71"/>
    <w:unhideWhenUsed/>
    <w:qFormat/>
    <w:uiPriority w:val="99"/>
    <w:pPr>
      <w:tabs>
        <w:tab w:val="center" w:pos="4153"/>
        <w:tab w:val="right" w:pos="8306"/>
      </w:tabs>
      <w:snapToGrid w:val="0"/>
      <w:jc w:val="left"/>
    </w:pPr>
    <w:rPr>
      <w:sz w:val="18"/>
      <w:szCs w:val="18"/>
    </w:rPr>
  </w:style>
  <w:style w:type="paragraph" w:styleId="29">
    <w:name w:val="header"/>
    <w:basedOn w:val="1"/>
    <w:link w:val="72"/>
    <w:unhideWhenUsed/>
    <w:qFormat/>
    <w:uiPriority w:val="0"/>
    <w:pPr>
      <w:tabs>
        <w:tab w:val="center" w:pos="4153"/>
        <w:tab w:val="right" w:pos="8306"/>
      </w:tabs>
      <w:snapToGrid w:val="0"/>
      <w:jc w:val="center"/>
    </w:pPr>
    <w:rPr>
      <w:sz w:val="18"/>
      <w:szCs w:val="18"/>
    </w:rPr>
  </w:style>
  <w:style w:type="paragraph" w:styleId="30">
    <w:name w:val="toc 1"/>
    <w:basedOn w:val="1"/>
    <w:next w:val="1"/>
    <w:unhideWhenUsed/>
    <w:qFormat/>
    <w:uiPriority w:val="39"/>
    <w:pPr>
      <w:tabs>
        <w:tab w:val="left" w:pos="400"/>
        <w:tab w:val="right" w:leader="dot" w:pos="9060"/>
      </w:tabs>
      <w:adjustRightInd w:val="0"/>
      <w:snapToGrid w:val="0"/>
      <w:spacing w:before="81" w:beforeLines="25" w:after="81" w:afterLines="25" w:line="360" w:lineRule="auto"/>
    </w:pPr>
    <w:rPr>
      <w:rFonts w:ascii="Times New Roman" w:hAnsi="Times New Roman"/>
      <w:b/>
      <w14:ligatures w14:val="none"/>
    </w:rPr>
  </w:style>
  <w:style w:type="paragraph" w:styleId="31">
    <w:name w:val="toc 4"/>
    <w:basedOn w:val="1"/>
    <w:next w:val="1"/>
    <w:unhideWhenUsed/>
    <w:qFormat/>
    <w:uiPriority w:val="39"/>
    <w:pPr>
      <w:ind w:left="1260" w:leftChars="600"/>
    </w:pPr>
    <w:rPr>
      <w:sz w:val="21"/>
      <w14:ligatures w14:val="none"/>
    </w:rPr>
  </w:style>
  <w:style w:type="paragraph" w:styleId="32">
    <w:name w:val="Subtitle"/>
    <w:basedOn w:val="1"/>
    <w:next w:val="1"/>
    <w:link w:val="73"/>
    <w:qFormat/>
    <w:uiPriority w:val="0"/>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toc 6"/>
    <w:basedOn w:val="1"/>
    <w:next w:val="1"/>
    <w:unhideWhenUsed/>
    <w:qFormat/>
    <w:uiPriority w:val="39"/>
    <w:pPr>
      <w:ind w:left="2100" w:leftChars="1000"/>
    </w:pPr>
    <w:rPr>
      <w:sz w:val="21"/>
      <w14:ligatures w14:val="none"/>
    </w:rPr>
  </w:style>
  <w:style w:type="paragraph" w:styleId="34">
    <w:name w:val="Body Text Indent 3"/>
    <w:basedOn w:val="1"/>
    <w:link w:val="74"/>
    <w:qFormat/>
    <w:uiPriority w:val="0"/>
    <w:pPr>
      <w:widowControl/>
      <w:adjustRightInd w:val="0"/>
      <w:snapToGrid w:val="0"/>
      <w:spacing w:beforeLines="25" w:afterLines="25" w:line="360" w:lineRule="auto"/>
      <w:ind w:firstLine="420"/>
      <w:jc w:val="left"/>
    </w:pPr>
    <w:rPr>
      <w:rFonts w:ascii="Times New Roman" w:hAnsi="Times New Roman" w:cs="Times New Roman"/>
      <w:b/>
      <w:bCs/>
      <w:color w:val="008000"/>
      <w:kern w:val="0"/>
      <w:szCs w:val="24"/>
      <w14:ligatures w14:val="none"/>
    </w:rPr>
  </w:style>
  <w:style w:type="paragraph" w:styleId="35">
    <w:name w:val="toc 2"/>
    <w:basedOn w:val="1"/>
    <w:next w:val="1"/>
    <w:unhideWhenUsed/>
    <w:qFormat/>
    <w:uiPriority w:val="39"/>
    <w:pPr>
      <w:adjustRightInd w:val="0"/>
      <w:snapToGrid w:val="0"/>
      <w:spacing w:before="25" w:beforeLines="25" w:after="25" w:afterLines="25" w:line="360" w:lineRule="auto"/>
      <w:ind w:left="200" w:leftChars="200"/>
    </w:pPr>
    <w:rPr>
      <w:rFonts w:ascii="Times New Roman" w:hAnsi="Times New Roman"/>
      <w14:ligatures w14:val="none"/>
    </w:rPr>
  </w:style>
  <w:style w:type="paragraph" w:styleId="36">
    <w:name w:val="toc 9"/>
    <w:basedOn w:val="1"/>
    <w:next w:val="1"/>
    <w:unhideWhenUsed/>
    <w:qFormat/>
    <w:uiPriority w:val="39"/>
    <w:pPr>
      <w:ind w:left="3360" w:leftChars="1600"/>
    </w:pPr>
    <w:rPr>
      <w:sz w:val="21"/>
      <w14:ligatures w14:val="none"/>
    </w:rPr>
  </w:style>
  <w:style w:type="paragraph" w:styleId="37">
    <w:name w:val="Body Text 2"/>
    <w:basedOn w:val="1"/>
    <w:link w:val="75"/>
    <w:unhideWhenUsed/>
    <w:qFormat/>
    <w:uiPriority w:val="99"/>
    <w:pPr>
      <w:spacing w:after="120" w:line="480" w:lineRule="auto"/>
      <w:ind w:firstLine="200" w:firstLineChars="200"/>
    </w:pPr>
    <w:rPr>
      <w:rFonts w:ascii="Calibri" w:hAnsi="Calibri" w:cs="Times New Roman"/>
      <w14:ligatures w14:val="none"/>
    </w:rPr>
  </w:style>
  <w:style w:type="paragraph" w:styleId="38">
    <w:name w:val="HTML Preformatted"/>
    <w:basedOn w:val="1"/>
    <w:link w:val="7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Cs w:val="24"/>
      <w14:ligatures w14:val="none"/>
    </w:rPr>
  </w:style>
  <w:style w:type="paragraph" w:styleId="39">
    <w:name w:val="Normal (Web)"/>
    <w:basedOn w:val="1"/>
    <w:link w:val="77"/>
    <w:unhideWhenUsed/>
    <w:qFormat/>
    <w:uiPriority w:val="0"/>
    <w:pPr>
      <w:widowControl/>
      <w:jc w:val="left"/>
    </w:pPr>
    <w:rPr>
      <w:rFonts w:ascii="宋体" w:hAnsi="宋体" w:cs="宋体"/>
      <w:kern w:val="0"/>
      <w:szCs w:val="24"/>
    </w:rPr>
  </w:style>
  <w:style w:type="paragraph" w:styleId="40">
    <w:name w:val="Title"/>
    <w:basedOn w:val="1"/>
    <w:next w:val="1"/>
    <w:link w:val="78"/>
    <w:qFormat/>
    <w:uiPriority w:val="0"/>
    <w:pPr>
      <w:spacing w:after="80"/>
      <w:contextualSpacing/>
      <w:jc w:val="center"/>
    </w:pPr>
    <w:rPr>
      <w:rFonts w:asciiTheme="majorHAnsi" w:hAnsiTheme="majorHAnsi" w:eastAsiaTheme="majorEastAsia" w:cstheme="majorBidi"/>
      <w:spacing w:val="-10"/>
      <w:kern w:val="28"/>
      <w:sz w:val="56"/>
      <w:szCs w:val="56"/>
    </w:rPr>
  </w:style>
  <w:style w:type="paragraph" w:styleId="41">
    <w:name w:val="annotation subject"/>
    <w:basedOn w:val="18"/>
    <w:next w:val="18"/>
    <w:link w:val="79"/>
    <w:unhideWhenUsed/>
    <w:qFormat/>
    <w:uiPriority w:val="99"/>
    <w:rPr>
      <w:b/>
      <w:bCs/>
    </w:rPr>
  </w:style>
  <w:style w:type="paragraph" w:styleId="42">
    <w:name w:val="Body Text First Indent"/>
    <w:basedOn w:val="19"/>
    <w:link w:val="80"/>
    <w:semiHidden/>
    <w:unhideWhenUsed/>
    <w:qFormat/>
    <w:uiPriority w:val="99"/>
    <w:pPr>
      <w:widowControl w:val="0"/>
      <w:adjustRightInd/>
      <w:snapToGrid/>
      <w:spacing w:beforeLines="0" w:afterLines="0" w:line="240" w:lineRule="auto"/>
      <w:ind w:firstLine="420" w:firstLineChars="100"/>
      <w:jc w:val="both"/>
    </w:pPr>
    <w:rPr>
      <w:kern w:val="2"/>
    </w:rPr>
  </w:style>
  <w:style w:type="paragraph" w:styleId="43">
    <w:name w:val="Body Text First Indent 2"/>
    <w:link w:val="81"/>
    <w:qFormat/>
    <w:uiPriority w:val="0"/>
    <w:pPr>
      <w:widowControl w:val="0"/>
      <w:spacing w:after="120" w:line="240" w:lineRule="auto"/>
      <w:ind w:left="420" w:leftChars="200" w:firstLine="420"/>
      <w:jc w:val="both"/>
    </w:pPr>
    <w:rPr>
      <w:rFonts w:ascii="Calibri" w:hAnsi="Calibri" w:eastAsia="宋体" w:cs="Times New Roman"/>
      <w:kern w:val="2"/>
      <w:sz w:val="21"/>
      <w:szCs w:val="21"/>
      <w:lang w:val="en-US" w:eastAsia="zh-CN" w:bidi="ar-SA"/>
    </w:rPr>
  </w:style>
  <w:style w:type="table" w:styleId="45">
    <w:name w:val="Table Grid"/>
    <w:basedOn w:val="44"/>
    <w:qFormat/>
    <w:uiPriority w:val="59"/>
    <w:pPr>
      <w:spacing w:after="0" w:line="240" w:lineRule="auto"/>
    </w:pPr>
    <w:rPr>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basedOn w:val="46"/>
    <w:qFormat/>
    <w:uiPriority w:val="22"/>
    <w:rPr>
      <w:b/>
      <w:bCs/>
    </w:rPr>
  </w:style>
  <w:style w:type="character" w:styleId="48">
    <w:name w:val="page number"/>
    <w:basedOn w:val="46"/>
    <w:qFormat/>
    <w:uiPriority w:val="0"/>
  </w:style>
  <w:style w:type="character" w:styleId="49">
    <w:name w:val="FollowedHyperlink"/>
    <w:qFormat/>
    <w:uiPriority w:val="99"/>
    <w:rPr>
      <w:color w:val="800080"/>
      <w:u w:val="single"/>
    </w:rPr>
  </w:style>
  <w:style w:type="character" w:styleId="50">
    <w:name w:val="Emphasis"/>
    <w:qFormat/>
    <w:uiPriority w:val="20"/>
    <w:rPr>
      <w:rFonts w:ascii="Calibri" w:hAnsi="Calibri"/>
      <w:b/>
      <w:i/>
      <w:iCs/>
    </w:rPr>
  </w:style>
  <w:style w:type="character" w:styleId="51">
    <w:name w:val="Hyperlink"/>
    <w:basedOn w:val="46"/>
    <w:unhideWhenUsed/>
    <w:qFormat/>
    <w:uiPriority w:val="99"/>
    <w:rPr>
      <w:color w:val="0563C1" w:themeColor="hyperlink"/>
      <w:u w:val="single"/>
      <w14:textFill>
        <w14:solidFill>
          <w14:schemeClr w14:val="hlink"/>
        </w14:solidFill>
      </w14:textFill>
    </w:rPr>
  </w:style>
  <w:style w:type="character" w:styleId="52">
    <w:name w:val="annotation reference"/>
    <w:basedOn w:val="46"/>
    <w:unhideWhenUsed/>
    <w:qFormat/>
    <w:uiPriority w:val="99"/>
    <w:rPr>
      <w:sz w:val="21"/>
      <w:szCs w:val="21"/>
    </w:rPr>
  </w:style>
  <w:style w:type="character" w:customStyle="1" w:styleId="53">
    <w:name w:val="标题 1 字符"/>
    <w:basedOn w:val="46"/>
    <w:link w:val="2"/>
    <w:qFormat/>
    <w:uiPriority w:val="9"/>
    <w:rPr>
      <w:rFonts w:asciiTheme="majorHAnsi" w:hAnsiTheme="majorHAnsi" w:cstheme="majorBidi"/>
      <w:kern w:val="2"/>
      <w:sz w:val="48"/>
      <w:szCs w:val="48"/>
      <w14:ligatures w14:val="standardContextual"/>
    </w:rPr>
  </w:style>
  <w:style w:type="character" w:customStyle="1" w:styleId="54">
    <w:name w:val="标题 2 字符"/>
    <w:basedOn w:val="46"/>
    <w:link w:val="3"/>
    <w:qFormat/>
    <w:uiPriority w:val="9"/>
    <w:rPr>
      <w:rFonts w:asciiTheme="majorHAnsi" w:hAnsiTheme="majorHAnsi" w:eastAsiaTheme="majorEastAsia" w:cstheme="majorBidi"/>
      <w:color w:val="2F5597" w:themeColor="accent1" w:themeShade="BF"/>
      <w:kern w:val="2"/>
      <w:sz w:val="40"/>
      <w:szCs w:val="40"/>
      <w14:ligatures w14:val="standardContextual"/>
    </w:rPr>
  </w:style>
  <w:style w:type="character" w:customStyle="1" w:styleId="55">
    <w:name w:val="标题 3 字符"/>
    <w:basedOn w:val="46"/>
    <w:link w:val="4"/>
    <w:qFormat/>
    <w:uiPriority w:val="9"/>
    <w:rPr>
      <w:rFonts w:asciiTheme="majorHAnsi" w:hAnsiTheme="majorHAnsi" w:eastAsiaTheme="majorEastAsia" w:cstheme="majorBidi"/>
      <w:color w:val="2F5597" w:themeColor="accent1" w:themeShade="BF"/>
      <w:kern w:val="2"/>
      <w:sz w:val="32"/>
      <w:szCs w:val="32"/>
      <w14:ligatures w14:val="standardContextual"/>
    </w:rPr>
  </w:style>
  <w:style w:type="character" w:customStyle="1" w:styleId="56">
    <w:name w:val="标题 4 字符"/>
    <w:basedOn w:val="46"/>
    <w:link w:val="5"/>
    <w:qFormat/>
    <w:uiPriority w:val="9"/>
    <w:rPr>
      <w:rFonts w:asciiTheme="minorHAnsi" w:hAnsiTheme="minorHAnsi" w:cstheme="majorBidi"/>
      <w:kern w:val="2"/>
      <w:sz w:val="28"/>
      <w:szCs w:val="28"/>
      <w14:ligatures w14:val="standardContextual"/>
    </w:rPr>
  </w:style>
  <w:style w:type="character" w:customStyle="1" w:styleId="57">
    <w:name w:val="标题 5 字符"/>
    <w:basedOn w:val="46"/>
    <w:link w:val="6"/>
    <w:qFormat/>
    <w:uiPriority w:val="9"/>
    <w:rPr>
      <w:rFonts w:asciiTheme="minorHAnsi" w:hAnsiTheme="minorHAnsi" w:cstheme="majorBidi"/>
      <w:color w:val="2F5597" w:themeColor="accent1" w:themeShade="BF"/>
      <w:kern w:val="2"/>
      <w:sz w:val="24"/>
      <w:szCs w:val="22"/>
      <w14:ligatures w14:val="standardContextual"/>
    </w:rPr>
  </w:style>
  <w:style w:type="character" w:customStyle="1" w:styleId="58">
    <w:name w:val="标题 6 字符"/>
    <w:basedOn w:val="46"/>
    <w:link w:val="7"/>
    <w:qFormat/>
    <w:uiPriority w:val="0"/>
    <w:rPr>
      <w:rFonts w:asciiTheme="minorHAnsi" w:hAnsiTheme="minorHAnsi" w:cstheme="majorBidi"/>
      <w:b/>
      <w:bCs/>
      <w:color w:val="2F5597" w:themeColor="accent1" w:themeShade="BF"/>
      <w:kern w:val="2"/>
      <w:sz w:val="24"/>
      <w:szCs w:val="22"/>
      <w14:ligatures w14:val="standardContextual"/>
    </w:rPr>
  </w:style>
  <w:style w:type="character" w:customStyle="1" w:styleId="59">
    <w:name w:val="标题 7 字符"/>
    <w:basedOn w:val="46"/>
    <w:link w:val="8"/>
    <w:qFormat/>
    <w:uiPriority w:val="0"/>
    <w:rPr>
      <w:rFonts w:asciiTheme="minorHAnsi" w:hAnsiTheme="minorHAnsi" w:cstheme="majorBidi"/>
      <w:b/>
      <w:bCs/>
      <w:color w:val="595959" w:themeColor="text1" w:themeTint="A6"/>
      <w:kern w:val="2"/>
      <w:sz w:val="24"/>
      <w:szCs w:val="22"/>
      <w14:textFill>
        <w14:solidFill>
          <w14:schemeClr w14:val="tx1">
            <w14:lumMod w14:val="65000"/>
            <w14:lumOff w14:val="35000"/>
          </w14:schemeClr>
        </w14:solidFill>
      </w14:textFill>
      <w14:ligatures w14:val="standardContextual"/>
    </w:rPr>
  </w:style>
  <w:style w:type="character" w:customStyle="1" w:styleId="60">
    <w:name w:val="标题 8 字符"/>
    <w:basedOn w:val="46"/>
    <w:link w:val="9"/>
    <w:qFormat/>
    <w:uiPriority w:val="0"/>
    <w:rPr>
      <w:rFonts w:asciiTheme="minorHAnsi" w:hAnsiTheme="minorHAnsi" w:cstheme="majorBidi"/>
      <w:color w:val="595959" w:themeColor="text1" w:themeTint="A6"/>
      <w:kern w:val="2"/>
      <w:sz w:val="24"/>
      <w:szCs w:val="22"/>
      <w14:textFill>
        <w14:solidFill>
          <w14:schemeClr w14:val="tx1">
            <w14:lumMod w14:val="65000"/>
            <w14:lumOff w14:val="35000"/>
          </w14:schemeClr>
        </w14:solidFill>
      </w14:textFill>
      <w14:ligatures w14:val="standardContextual"/>
    </w:rPr>
  </w:style>
  <w:style w:type="character" w:customStyle="1" w:styleId="61">
    <w:name w:val="标题 9 字符"/>
    <w:basedOn w:val="46"/>
    <w:link w:val="10"/>
    <w:qFormat/>
    <w:uiPriority w:val="0"/>
    <w:rPr>
      <w:rFonts w:asciiTheme="minorHAnsi" w:hAnsiTheme="minorHAnsi" w:eastAsiaTheme="majorEastAsia" w:cstheme="majorBidi"/>
      <w:color w:val="595959" w:themeColor="text1" w:themeTint="A6"/>
      <w:kern w:val="2"/>
      <w:sz w:val="24"/>
      <w:szCs w:val="22"/>
      <w14:textFill>
        <w14:solidFill>
          <w14:schemeClr w14:val="tx1">
            <w14:lumMod w14:val="65000"/>
            <w14:lumOff w14:val="35000"/>
          </w14:schemeClr>
        </w14:solidFill>
      </w14:textFill>
      <w14:ligatures w14:val="standardContextual"/>
    </w:rPr>
  </w:style>
  <w:style w:type="character" w:customStyle="1" w:styleId="62">
    <w:name w:val="正文缩进 字符"/>
    <w:link w:val="14"/>
    <w:qFormat/>
    <w:locked/>
    <w:uiPriority w:val="0"/>
    <w:rPr>
      <w:rFonts w:ascii="Times New Roman" w:hAnsi="Times New Roman" w:eastAsia="宋体"/>
      <w:sz w:val="24"/>
      <w:szCs w:val="22"/>
      <w14:ligatures w14:val="none"/>
    </w:rPr>
  </w:style>
  <w:style w:type="character" w:customStyle="1" w:styleId="63">
    <w:name w:val="文档结构图 字符"/>
    <w:basedOn w:val="46"/>
    <w:link w:val="16"/>
    <w:semiHidden/>
    <w:qFormat/>
    <w:uiPriority w:val="99"/>
    <w:rPr>
      <w:rFonts w:ascii="Times New Roman" w:hAnsi="Times New Roman" w:eastAsia="宋体" w:cs="Times New Roman"/>
      <w:sz w:val="24"/>
      <w14:ligatures w14:val="none"/>
    </w:rPr>
  </w:style>
  <w:style w:type="character" w:customStyle="1" w:styleId="64">
    <w:name w:val="批注文字 字符"/>
    <w:basedOn w:val="46"/>
    <w:link w:val="18"/>
    <w:qFormat/>
    <w:uiPriority w:val="99"/>
    <w:rPr>
      <w:rFonts w:eastAsia="宋体"/>
      <w:sz w:val="24"/>
      <w:szCs w:val="22"/>
    </w:rPr>
  </w:style>
  <w:style w:type="character" w:customStyle="1" w:styleId="65">
    <w:name w:val="正文文本 字符"/>
    <w:basedOn w:val="46"/>
    <w:link w:val="19"/>
    <w:qFormat/>
    <w:uiPriority w:val="0"/>
    <w:rPr>
      <w:rFonts w:ascii="Times New Roman" w:hAnsi="Times New Roman" w:eastAsia="宋体" w:cs="Times New Roman"/>
      <w:kern w:val="0"/>
      <w:sz w:val="24"/>
      <w14:ligatures w14:val="none"/>
    </w:rPr>
  </w:style>
  <w:style w:type="character" w:customStyle="1" w:styleId="66">
    <w:name w:val="正文文本缩进 字符"/>
    <w:basedOn w:val="46"/>
    <w:link w:val="20"/>
    <w:qFormat/>
    <w:uiPriority w:val="99"/>
    <w:rPr>
      <w:rFonts w:ascii="宋体" w:hAnsi="宋体" w:eastAsia="宋体"/>
      <w:sz w:val="24"/>
      <w:szCs w:val="22"/>
      <w14:ligatures w14:val="none"/>
    </w:rPr>
  </w:style>
  <w:style w:type="character" w:customStyle="1" w:styleId="67">
    <w:name w:val="纯文本 字符"/>
    <w:basedOn w:val="46"/>
    <w:link w:val="23"/>
    <w:semiHidden/>
    <w:qFormat/>
    <w:uiPriority w:val="99"/>
    <w:rPr>
      <w:rFonts w:ascii="宋体" w:hAnsi="Courier New" w:eastAsia="宋体" w:cs="Courier New"/>
      <w:sz w:val="21"/>
      <w:szCs w:val="21"/>
      <w14:ligatures w14:val="none"/>
    </w:rPr>
  </w:style>
  <w:style w:type="character" w:customStyle="1" w:styleId="68">
    <w:name w:val="日期 字符"/>
    <w:basedOn w:val="46"/>
    <w:link w:val="25"/>
    <w:qFormat/>
    <w:uiPriority w:val="99"/>
    <w:rPr>
      <w:rFonts w:ascii="Times New Roman" w:hAnsi="Times New Roman" w:eastAsia="宋体"/>
      <w:sz w:val="24"/>
      <w:szCs w:val="22"/>
      <w14:ligatures w14:val="none"/>
    </w:rPr>
  </w:style>
  <w:style w:type="character" w:customStyle="1" w:styleId="69">
    <w:name w:val="正文文本缩进 2 字符"/>
    <w:basedOn w:val="46"/>
    <w:link w:val="26"/>
    <w:qFormat/>
    <w:uiPriority w:val="99"/>
    <w:rPr>
      <w:sz w:val="21"/>
      <w:szCs w:val="22"/>
      <w14:ligatures w14:val="none"/>
    </w:rPr>
  </w:style>
  <w:style w:type="character" w:customStyle="1" w:styleId="70">
    <w:name w:val="批注框文本 字符"/>
    <w:basedOn w:val="46"/>
    <w:link w:val="27"/>
    <w:qFormat/>
    <w:uiPriority w:val="99"/>
    <w:rPr>
      <w:rFonts w:ascii="Times New Roman" w:hAnsi="Times New Roman" w:eastAsia="宋体"/>
      <w:sz w:val="18"/>
      <w:szCs w:val="18"/>
      <w14:ligatures w14:val="none"/>
    </w:rPr>
  </w:style>
  <w:style w:type="character" w:customStyle="1" w:styleId="71">
    <w:name w:val="页脚 字符"/>
    <w:basedOn w:val="46"/>
    <w:link w:val="28"/>
    <w:qFormat/>
    <w:uiPriority w:val="99"/>
    <w:rPr>
      <w:rFonts w:eastAsia="宋体"/>
      <w:sz w:val="18"/>
      <w:szCs w:val="18"/>
    </w:rPr>
  </w:style>
  <w:style w:type="character" w:customStyle="1" w:styleId="72">
    <w:name w:val="页眉 字符"/>
    <w:basedOn w:val="46"/>
    <w:link w:val="29"/>
    <w:qFormat/>
    <w:uiPriority w:val="99"/>
    <w:rPr>
      <w:rFonts w:eastAsia="宋体"/>
      <w:sz w:val="18"/>
      <w:szCs w:val="18"/>
    </w:rPr>
  </w:style>
  <w:style w:type="character" w:customStyle="1" w:styleId="73">
    <w:name w:val="副标题 字符"/>
    <w:basedOn w:val="46"/>
    <w:link w:val="32"/>
    <w:qFormat/>
    <w:uiPriority w:val="0"/>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74">
    <w:name w:val="正文文本缩进 3 字符"/>
    <w:basedOn w:val="46"/>
    <w:link w:val="34"/>
    <w:qFormat/>
    <w:uiPriority w:val="0"/>
    <w:rPr>
      <w:rFonts w:ascii="Times New Roman" w:hAnsi="Times New Roman" w:eastAsia="宋体" w:cs="Times New Roman"/>
      <w:b/>
      <w:bCs/>
      <w:color w:val="008000"/>
      <w:kern w:val="0"/>
      <w:sz w:val="24"/>
      <w14:ligatures w14:val="none"/>
    </w:rPr>
  </w:style>
  <w:style w:type="character" w:customStyle="1" w:styleId="75">
    <w:name w:val="正文文本 2 字符"/>
    <w:basedOn w:val="46"/>
    <w:link w:val="37"/>
    <w:qFormat/>
    <w:uiPriority w:val="99"/>
    <w:rPr>
      <w:rFonts w:ascii="Calibri" w:hAnsi="Calibri" w:eastAsia="宋体" w:cs="Times New Roman"/>
      <w:sz w:val="24"/>
      <w:szCs w:val="22"/>
      <w14:ligatures w14:val="none"/>
    </w:rPr>
  </w:style>
  <w:style w:type="character" w:customStyle="1" w:styleId="76">
    <w:name w:val="HTML 预设格式 字符"/>
    <w:basedOn w:val="46"/>
    <w:link w:val="38"/>
    <w:qFormat/>
    <w:uiPriority w:val="99"/>
    <w:rPr>
      <w:rFonts w:ascii="宋体" w:hAnsi="宋体" w:eastAsia="宋体" w:cs="宋体"/>
      <w:sz w:val="24"/>
      <w14:ligatures w14:val="none"/>
    </w:rPr>
  </w:style>
  <w:style w:type="character" w:customStyle="1" w:styleId="77">
    <w:name w:val="普通(网站) 字符"/>
    <w:link w:val="39"/>
    <w:qFormat/>
    <w:locked/>
    <w:uiPriority w:val="99"/>
    <w:rPr>
      <w:rFonts w:ascii="宋体" w:hAnsi="宋体" w:eastAsia="宋体" w:cs="宋体"/>
      <w:kern w:val="0"/>
      <w:sz w:val="24"/>
    </w:rPr>
  </w:style>
  <w:style w:type="character" w:customStyle="1" w:styleId="78">
    <w:name w:val="标题 字符"/>
    <w:basedOn w:val="46"/>
    <w:link w:val="40"/>
    <w:qFormat/>
    <w:uiPriority w:val="0"/>
    <w:rPr>
      <w:rFonts w:asciiTheme="majorHAnsi" w:hAnsiTheme="majorHAnsi" w:eastAsiaTheme="majorEastAsia" w:cstheme="majorBidi"/>
      <w:spacing w:val="-10"/>
      <w:kern w:val="28"/>
      <w:sz w:val="56"/>
      <w:szCs w:val="56"/>
    </w:rPr>
  </w:style>
  <w:style w:type="character" w:customStyle="1" w:styleId="79">
    <w:name w:val="批注主题 字符"/>
    <w:basedOn w:val="64"/>
    <w:link w:val="41"/>
    <w:qFormat/>
    <w:uiPriority w:val="99"/>
    <w:rPr>
      <w:rFonts w:eastAsia="宋体"/>
      <w:b/>
      <w:bCs/>
      <w:sz w:val="24"/>
      <w:szCs w:val="22"/>
    </w:rPr>
  </w:style>
  <w:style w:type="character" w:customStyle="1" w:styleId="80">
    <w:name w:val="正文首行缩进 字符1"/>
    <w:basedOn w:val="65"/>
    <w:link w:val="42"/>
    <w:semiHidden/>
    <w:qFormat/>
    <w:uiPriority w:val="99"/>
    <w:rPr>
      <w:rFonts w:ascii="Times New Roman" w:hAnsi="Times New Roman" w:eastAsia="宋体" w:cs="Times New Roman"/>
      <w:kern w:val="0"/>
      <w:sz w:val="24"/>
      <w14:ligatures w14:val="none"/>
    </w:rPr>
  </w:style>
  <w:style w:type="character" w:customStyle="1" w:styleId="81">
    <w:name w:val="正文首行缩进 2 字符"/>
    <w:basedOn w:val="66"/>
    <w:link w:val="43"/>
    <w:qFormat/>
    <w:uiPriority w:val="0"/>
    <w:rPr>
      <w:rFonts w:ascii="Calibri" w:hAnsi="Calibri" w:eastAsia="宋体" w:cs="Times New Roman"/>
      <w:sz w:val="21"/>
      <w:szCs w:val="21"/>
      <w14:ligatures w14:val="none"/>
    </w:rPr>
  </w:style>
  <w:style w:type="paragraph" w:styleId="82">
    <w:name w:val="Quote"/>
    <w:basedOn w:val="1"/>
    <w:next w:val="1"/>
    <w:link w:val="8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83">
    <w:name w:val="引用 字符"/>
    <w:basedOn w:val="46"/>
    <w:link w:val="82"/>
    <w:qFormat/>
    <w:uiPriority w:val="29"/>
    <w:rPr>
      <w:i/>
      <w:iCs/>
      <w:color w:val="404040" w:themeColor="text1" w:themeTint="BF"/>
      <w14:textFill>
        <w14:solidFill>
          <w14:schemeClr w14:val="tx1">
            <w14:lumMod w14:val="75000"/>
            <w14:lumOff w14:val="25000"/>
          </w14:schemeClr>
        </w14:solidFill>
      </w14:textFill>
    </w:rPr>
  </w:style>
  <w:style w:type="paragraph" w:styleId="84">
    <w:name w:val="List Paragraph"/>
    <w:basedOn w:val="1"/>
    <w:link w:val="85"/>
    <w:qFormat/>
    <w:uiPriority w:val="34"/>
    <w:pPr>
      <w:ind w:left="720"/>
      <w:contextualSpacing/>
    </w:pPr>
  </w:style>
  <w:style w:type="character" w:customStyle="1" w:styleId="85">
    <w:name w:val="列出段落 字符"/>
    <w:link w:val="84"/>
    <w:qFormat/>
    <w:locked/>
    <w:uiPriority w:val="34"/>
    <w:rPr>
      <w:rFonts w:eastAsia="宋体"/>
      <w:sz w:val="24"/>
      <w:szCs w:val="22"/>
    </w:rPr>
  </w:style>
  <w:style w:type="character" w:customStyle="1" w:styleId="86">
    <w:name w:val="明显强调1"/>
    <w:basedOn w:val="46"/>
    <w:qFormat/>
    <w:uiPriority w:val="21"/>
    <w:rPr>
      <w:i/>
      <w:iCs/>
      <w:color w:val="2F5597" w:themeColor="accent1" w:themeShade="BF"/>
    </w:rPr>
  </w:style>
  <w:style w:type="paragraph" w:styleId="87">
    <w:name w:val="Intense Quote"/>
    <w:basedOn w:val="1"/>
    <w:next w:val="1"/>
    <w:link w:val="88"/>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88">
    <w:name w:val="明显引用 字符"/>
    <w:basedOn w:val="46"/>
    <w:link w:val="87"/>
    <w:qFormat/>
    <w:uiPriority w:val="30"/>
    <w:rPr>
      <w:i/>
      <w:iCs/>
      <w:color w:val="2F5597" w:themeColor="accent1" w:themeShade="BF"/>
    </w:rPr>
  </w:style>
  <w:style w:type="character" w:customStyle="1" w:styleId="89">
    <w:name w:val="明显参考1"/>
    <w:basedOn w:val="46"/>
    <w:qFormat/>
    <w:uiPriority w:val="32"/>
    <w:rPr>
      <w:b/>
      <w:bCs/>
      <w:smallCaps/>
      <w:color w:val="2F5597" w:themeColor="accent1" w:themeShade="BF"/>
      <w:spacing w:val="5"/>
    </w:rPr>
  </w:style>
  <w:style w:type="paragraph" w:customStyle="1" w:styleId="90">
    <w:name w:val="列出段落111111"/>
    <w:basedOn w:val="1"/>
    <w:qFormat/>
    <w:uiPriority w:val="34"/>
    <w:pPr>
      <w:spacing w:line="360" w:lineRule="auto"/>
      <w:ind w:firstLine="420" w:firstLineChars="200"/>
    </w:pPr>
    <w:rPr>
      <w:rFonts w:ascii="Calibri" w:hAnsi="Calibri" w:cs="Times New Roman"/>
      <w14:ligatures w14:val="none"/>
    </w:rPr>
  </w:style>
  <w:style w:type="paragraph" w:customStyle="1" w:styleId="91">
    <w:name w:val="msonormal"/>
    <w:basedOn w:val="1"/>
    <w:qFormat/>
    <w:uiPriority w:val="0"/>
    <w:pPr>
      <w:widowControl/>
      <w:jc w:val="left"/>
    </w:pPr>
    <w:rPr>
      <w:rFonts w:ascii="宋体" w:hAnsi="宋体" w:cs="宋体"/>
      <w:kern w:val="0"/>
      <w:szCs w:val="24"/>
    </w:rPr>
  </w:style>
  <w:style w:type="paragraph" w:customStyle="1" w:styleId="92">
    <w:name w:val="hidden"/>
    <w:basedOn w:val="1"/>
    <w:qFormat/>
    <w:uiPriority w:val="0"/>
    <w:pPr>
      <w:widowControl/>
      <w:spacing w:before="100" w:beforeAutospacing="1" w:after="100" w:afterAutospacing="1"/>
      <w:jc w:val="left"/>
    </w:pPr>
    <w:rPr>
      <w:rFonts w:ascii="宋体" w:hAnsi="宋体" w:cs="宋体"/>
      <w:vanish/>
      <w:kern w:val="0"/>
      <w:szCs w:val="24"/>
    </w:rPr>
  </w:style>
  <w:style w:type="paragraph" w:customStyle="1" w:styleId="93">
    <w:name w:val="wdcj_1_p"/>
    <w:basedOn w:val="1"/>
    <w:qFormat/>
    <w:uiPriority w:val="0"/>
    <w:pPr>
      <w:widowControl/>
      <w:spacing w:before="100" w:beforeAutospacing="1" w:after="100" w:afterAutospacing="1" w:line="360" w:lineRule="auto"/>
      <w:jc w:val="left"/>
    </w:pPr>
    <w:rPr>
      <w:rFonts w:ascii="宋体" w:hAnsi="宋体" w:cs="宋体"/>
      <w:b/>
      <w:bCs/>
      <w:kern w:val="0"/>
      <w:sz w:val="32"/>
      <w:szCs w:val="32"/>
    </w:rPr>
  </w:style>
  <w:style w:type="paragraph" w:customStyle="1" w:styleId="94">
    <w:name w:val="wdcj_1_h"/>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95">
    <w:name w:val="wdcj_1_div"/>
    <w:basedOn w:val="1"/>
    <w:qFormat/>
    <w:uiPriority w:val="0"/>
    <w:pPr>
      <w:widowControl/>
      <w:spacing w:before="100" w:beforeAutospacing="1" w:after="100" w:afterAutospacing="1" w:line="360" w:lineRule="auto"/>
      <w:jc w:val="left"/>
    </w:pPr>
    <w:rPr>
      <w:rFonts w:ascii="宋体" w:hAnsi="宋体" w:cs="宋体"/>
      <w:color w:val="000000"/>
      <w:kern w:val="0"/>
      <w:sz w:val="32"/>
      <w:szCs w:val="32"/>
    </w:rPr>
  </w:style>
  <w:style w:type="paragraph" w:customStyle="1" w:styleId="96">
    <w:name w:val="wdcj_2_p"/>
    <w:basedOn w:val="1"/>
    <w:qFormat/>
    <w:uiPriority w:val="0"/>
    <w:pPr>
      <w:widowControl/>
      <w:spacing w:before="100" w:beforeAutospacing="1" w:after="100" w:afterAutospacing="1" w:line="360" w:lineRule="auto"/>
      <w:jc w:val="left"/>
    </w:pPr>
    <w:rPr>
      <w:rFonts w:ascii="宋体" w:hAnsi="宋体" w:cs="宋体"/>
      <w:b/>
      <w:bCs/>
      <w:kern w:val="0"/>
      <w:sz w:val="30"/>
      <w:szCs w:val="30"/>
    </w:rPr>
  </w:style>
  <w:style w:type="paragraph" w:customStyle="1" w:styleId="97">
    <w:name w:val="wdcj_2_h"/>
    <w:basedOn w:val="1"/>
    <w:qFormat/>
    <w:uiPriority w:val="0"/>
    <w:pPr>
      <w:widowControl/>
      <w:spacing w:before="100" w:beforeAutospacing="1" w:after="100" w:afterAutospacing="1"/>
      <w:jc w:val="left"/>
    </w:pPr>
    <w:rPr>
      <w:rFonts w:ascii="宋体" w:hAnsi="宋体" w:cs="宋体"/>
      <w:b/>
      <w:bCs/>
      <w:kern w:val="0"/>
      <w:sz w:val="30"/>
      <w:szCs w:val="30"/>
    </w:rPr>
  </w:style>
  <w:style w:type="paragraph" w:customStyle="1" w:styleId="98">
    <w:name w:val="wdcj_2_div"/>
    <w:basedOn w:val="1"/>
    <w:qFormat/>
    <w:uiPriority w:val="0"/>
    <w:pPr>
      <w:widowControl/>
      <w:spacing w:before="100" w:beforeAutospacing="1" w:after="100" w:afterAutospacing="1" w:line="360" w:lineRule="auto"/>
      <w:jc w:val="left"/>
    </w:pPr>
    <w:rPr>
      <w:rFonts w:ascii="宋体" w:hAnsi="宋体" w:cs="宋体"/>
      <w:color w:val="000000"/>
      <w:kern w:val="0"/>
      <w:sz w:val="30"/>
      <w:szCs w:val="30"/>
    </w:rPr>
  </w:style>
  <w:style w:type="paragraph" w:customStyle="1" w:styleId="99">
    <w:name w:val="wdcj_3_p"/>
    <w:basedOn w:val="1"/>
    <w:qFormat/>
    <w:uiPriority w:val="0"/>
    <w:pPr>
      <w:widowControl/>
      <w:spacing w:before="100" w:beforeAutospacing="1" w:after="100" w:afterAutospacing="1" w:line="360" w:lineRule="auto"/>
      <w:jc w:val="left"/>
    </w:pPr>
    <w:rPr>
      <w:rFonts w:ascii="宋体" w:hAnsi="宋体" w:cs="宋体"/>
      <w:b/>
      <w:bCs/>
      <w:kern w:val="0"/>
      <w:sz w:val="28"/>
      <w:szCs w:val="28"/>
    </w:rPr>
  </w:style>
  <w:style w:type="paragraph" w:customStyle="1" w:styleId="100">
    <w:name w:val="wdcj_3_h"/>
    <w:basedOn w:val="1"/>
    <w:qFormat/>
    <w:uiPriority w:val="0"/>
    <w:pPr>
      <w:widowControl/>
      <w:spacing w:before="100" w:beforeAutospacing="1" w:after="100" w:afterAutospacing="1"/>
      <w:jc w:val="left"/>
    </w:pPr>
    <w:rPr>
      <w:rFonts w:ascii="宋体" w:hAnsi="宋体" w:cs="宋体"/>
      <w:b/>
      <w:bCs/>
      <w:kern w:val="0"/>
      <w:sz w:val="28"/>
      <w:szCs w:val="28"/>
    </w:rPr>
  </w:style>
  <w:style w:type="paragraph" w:customStyle="1" w:styleId="101">
    <w:name w:val="wdcj_3_div"/>
    <w:basedOn w:val="1"/>
    <w:qFormat/>
    <w:uiPriority w:val="0"/>
    <w:pPr>
      <w:widowControl/>
      <w:spacing w:before="100" w:beforeAutospacing="1" w:after="100" w:afterAutospacing="1" w:line="360" w:lineRule="auto"/>
      <w:jc w:val="left"/>
    </w:pPr>
    <w:rPr>
      <w:rFonts w:ascii="宋体" w:hAnsi="宋体" w:cs="宋体"/>
      <w:color w:val="000000"/>
      <w:kern w:val="0"/>
      <w:sz w:val="28"/>
      <w:szCs w:val="28"/>
    </w:rPr>
  </w:style>
  <w:style w:type="paragraph" w:customStyle="1" w:styleId="102">
    <w:name w:val="wdcj_4_p"/>
    <w:basedOn w:val="1"/>
    <w:qFormat/>
    <w:uiPriority w:val="0"/>
    <w:pPr>
      <w:widowControl/>
      <w:spacing w:before="100" w:beforeAutospacing="1" w:after="100" w:afterAutospacing="1" w:line="360" w:lineRule="auto"/>
      <w:jc w:val="left"/>
    </w:pPr>
    <w:rPr>
      <w:rFonts w:ascii="宋体" w:hAnsi="宋体" w:cs="宋体"/>
      <w:b/>
      <w:bCs/>
      <w:kern w:val="0"/>
      <w:szCs w:val="24"/>
    </w:rPr>
  </w:style>
  <w:style w:type="paragraph" w:customStyle="1" w:styleId="103">
    <w:name w:val="wdcj_4_h"/>
    <w:basedOn w:val="1"/>
    <w:qFormat/>
    <w:uiPriority w:val="0"/>
    <w:pPr>
      <w:widowControl/>
      <w:spacing w:before="100" w:beforeAutospacing="1" w:after="100" w:afterAutospacing="1"/>
      <w:jc w:val="left"/>
    </w:pPr>
    <w:rPr>
      <w:rFonts w:ascii="宋体" w:hAnsi="宋体" w:cs="宋体"/>
      <w:b/>
      <w:bCs/>
      <w:kern w:val="0"/>
      <w:szCs w:val="24"/>
    </w:rPr>
  </w:style>
  <w:style w:type="paragraph" w:customStyle="1" w:styleId="104">
    <w:name w:val="wdcj_4_div"/>
    <w:basedOn w:val="1"/>
    <w:qFormat/>
    <w:uiPriority w:val="0"/>
    <w:pPr>
      <w:widowControl/>
      <w:spacing w:before="100" w:beforeAutospacing="1" w:after="100" w:afterAutospacing="1" w:line="360" w:lineRule="auto"/>
      <w:jc w:val="left"/>
    </w:pPr>
    <w:rPr>
      <w:rFonts w:ascii="宋体" w:hAnsi="宋体" w:cs="宋体"/>
      <w:color w:val="000000"/>
      <w:kern w:val="0"/>
      <w:szCs w:val="24"/>
    </w:rPr>
  </w:style>
  <w:style w:type="paragraph" w:customStyle="1" w:styleId="105">
    <w:name w:val="wdcj_5_p"/>
    <w:basedOn w:val="1"/>
    <w:qFormat/>
    <w:uiPriority w:val="0"/>
    <w:pPr>
      <w:widowControl/>
      <w:spacing w:before="100" w:beforeAutospacing="1" w:after="100" w:afterAutospacing="1" w:line="360" w:lineRule="auto"/>
      <w:jc w:val="left"/>
    </w:pPr>
    <w:rPr>
      <w:rFonts w:ascii="宋体" w:hAnsi="宋体" w:cs="宋体"/>
      <w:b/>
      <w:bCs/>
      <w:kern w:val="0"/>
      <w:szCs w:val="24"/>
    </w:rPr>
  </w:style>
  <w:style w:type="paragraph" w:customStyle="1" w:styleId="106">
    <w:name w:val="wdcj_5_h"/>
    <w:basedOn w:val="1"/>
    <w:qFormat/>
    <w:uiPriority w:val="0"/>
    <w:pPr>
      <w:widowControl/>
      <w:spacing w:before="100" w:beforeAutospacing="1" w:after="100" w:afterAutospacing="1"/>
      <w:jc w:val="left"/>
    </w:pPr>
    <w:rPr>
      <w:rFonts w:ascii="宋体" w:hAnsi="宋体" w:cs="宋体"/>
      <w:b/>
      <w:bCs/>
      <w:kern w:val="0"/>
      <w:szCs w:val="24"/>
    </w:rPr>
  </w:style>
  <w:style w:type="paragraph" w:customStyle="1" w:styleId="107">
    <w:name w:val="wdcj_5_div"/>
    <w:basedOn w:val="1"/>
    <w:qFormat/>
    <w:uiPriority w:val="0"/>
    <w:pPr>
      <w:widowControl/>
      <w:spacing w:before="100" w:beforeAutospacing="1" w:after="100" w:afterAutospacing="1" w:line="360" w:lineRule="auto"/>
      <w:jc w:val="left"/>
    </w:pPr>
    <w:rPr>
      <w:rFonts w:ascii="宋体" w:hAnsi="宋体" w:cs="宋体"/>
      <w:color w:val="000000"/>
      <w:kern w:val="0"/>
      <w:szCs w:val="24"/>
    </w:rPr>
  </w:style>
  <w:style w:type="paragraph" w:customStyle="1" w:styleId="108">
    <w:name w:val="wdcj_6_p"/>
    <w:basedOn w:val="1"/>
    <w:qFormat/>
    <w:uiPriority w:val="0"/>
    <w:pPr>
      <w:widowControl/>
      <w:spacing w:before="100" w:beforeAutospacing="1" w:after="100" w:afterAutospacing="1" w:line="360" w:lineRule="auto"/>
      <w:jc w:val="left"/>
    </w:pPr>
    <w:rPr>
      <w:rFonts w:ascii="宋体" w:hAnsi="宋体" w:cs="宋体"/>
      <w:kern w:val="0"/>
      <w:szCs w:val="24"/>
    </w:rPr>
  </w:style>
  <w:style w:type="paragraph" w:customStyle="1" w:styleId="109">
    <w:name w:val="wdcj_6_h"/>
    <w:basedOn w:val="1"/>
    <w:qFormat/>
    <w:uiPriority w:val="0"/>
    <w:pPr>
      <w:widowControl/>
      <w:spacing w:before="100" w:beforeAutospacing="1" w:after="100" w:afterAutospacing="1"/>
      <w:jc w:val="left"/>
    </w:pPr>
    <w:rPr>
      <w:rFonts w:ascii="宋体" w:hAnsi="宋体" w:cs="宋体"/>
      <w:kern w:val="0"/>
      <w:szCs w:val="24"/>
    </w:rPr>
  </w:style>
  <w:style w:type="paragraph" w:customStyle="1" w:styleId="110">
    <w:name w:val="wdcj_6_div"/>
    <w:basedOn w:val="1"/>
    <w:qFormat/>
    <w:uiPriority w:val="0"/>
    <w:pPr>
      <w:widowControl/>
      <w:spacing w:before="100" w:beforeAutospacing="1" w:after="100" w:afterAutospacing="1" w:line="360" w:lineRule="auto"/>
      <w:jc w:val="left"/>
    </w:pPr>
    <w:rPr>
      <w:rFonts w:ascii="宋体" w:hAnsi="宋体" w:cs="宋体"/>
      <w:color w:val="000000"/>
      <w:kern w:val="0"/>
      <w:szCs w:val="24"/>
    </w:rPr>
  </w:style>
  <w:style w:type="paragraph" w:customStyle="1" w:styleId="111">
    <w:name w:val="wdcj_7_p"/>
    <w:basedOn w:val="1"/>
    <w:qFormat/>
    <w:uiPriority w:val="0"/>
    <w:pPr>
      <w:widowControl/>
      <w:spacing w:before="100" w:beforeAutospacing="1" w:after="100" w:afterAutospacing="1" w:line="360" w:lineRule="auto"/>
      <w:ind w:firstLine="480"/>
      <w:jc w:val="left"/>
    </w:pPr>
    <w:rPr>
      <w:rFonts w:ascii="宋体" w:hAnsi="宋体" w:cs="宋体"/>
      <w:kern w:val="0"/>
      <w:szCs w:val="24"/>
    </w:rPr>
  </w:style>
  <w:style w:type="paragraph" w:customStyle="1" w:styleId="112">
    <w:name w:val="wdcj_7_h"/>
    <w:basedOn w:val="1"/>
    <w:qFormat/>
    <w:uiPriority w:val="0"/>
    <w:pPr>
      <w:widowControl/>
      <w:spacing w:before="100" w:beforeAutospacing="1" w:after="100" w:afterAutospacing="1"/>
      <w:jc w:val="left"/>
    </w:pPr>
    <w:rPr>
      <w:rFonts w:ascii="宋体" w:hAnsi="宋体" w:cs="宋体"/>
      <w:kern w:val="0"/>
      <w:szCs w:val="24"/>
    </w:rPr>
  </w:style>
  <w:style w:type="paragraph" w:customStyle="1" w:styleId="113">
    <w:name w:val="wdcj_7_div"/>
    <w:basedOn w:val="1"/>
    <w:qFormat/>
    <w:uiPriority w:val="0"/>
    <w:pPr>
      <w:widowControl/>
      <w:spacing w:before="100" w:beforeAutospacing="1" w:after="100" w:afterAutospacing="1" w:line="360" w:lineRule="auto"/>
      <w:ind w:firstLine="480"/>
      <w:jc w:val="left"/>
    </w:pPr>
    <w:rPr>
      <w:rFonts w:ascii="宋体" w:hAnsi="宋体" w:cs="宋体"/>
      <w:color w:val="000000"/>
      <w:kern w:val="0"/>
      <w:szCs w:val="24"/>
    </w:rPr>
  </w:style>
  <w:style w:type="paragraph" w:customStyle="1" w:styleId="114">
    <w:name w:val="!正文"/>
    <w:basedOn w:val="1"/>
    <w:qFormat/>
    <w:uiPriority w:val="0"/>
    <w:pPr>
      <w:adjustRightInd w:val="0"/>
      <w:snapToGrid w:val="0"/>
      <w:spacing w:line="360" w:lineRule="auto"/>
    </w:pPr>
    <w:rPr>
      <w:szCs w:val="21"/>
      <w14:ligatures w14:val="none"/>
    </w:rPr>
  </w:style>
  <w:style w:type="character" w:customStyle="1" w:styleId="115">
    <w:name w:val="10"/>
    <w:basedOn w:val="46"/>
    <w:qFormat/>
    <w:uiPriority w:val="0"/>
    <w:rPr>
      <w:rFonts w:hint="default" w:ascii="等线" w:hAnsi="等线" w:eastAsia="等线" w:cs="等线"/>
    </w:rPr>
  </w:style>
  <w:style w:type="paragraph" w:customStyle="1" w:styleId="116">
    <w:name w:val="列表段落1"/>
    <w:qFormat/>
    <w:uiPriority w:val="34"/>
    <w:pPr>
      <w:widowControl w:val="0"/>
      <w:spacing w:after="0" w:line="240" w:lineRule="auto"/>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7">
    <w:name w:val="04-正文"/>
    <w:link w:val="118"/>
    <w:qFormat/>
    <w:uiPriority w:val="0"/>
    <w:pPr>
      <w:widowControl w:val="0"/>
      <w:spacing w:after="0" w:line="360" w:lineRule="exact"/>
      <w:ind w:firstLine="482"/>
      <w:jc w:val="both"/>
    </w:pPr>
    <w:rPr>
      <w:rFonts w:eastAsia="仿宋" w:asciiTheme="minorHAnsi" w:hAnsiTheme="minorHAnsi" w:cstheme="minorBidi"/>
      <w:kern w:val="2"/>
      <w:sz w:val="21"/>
      <w:szCs w:val="24"/>
      <w:lang w:val="en-US" w:eastAsia="zh-CN" w:bidi="ar-SA"/>
    </w:rPr>
  </w:style>
  <w:style w:type="character" w:customStyle="1" w:styleId="118">
    <w:name w:val="04-正文 Char"/>
    <w:link w:val="117"/>
    <w:qFormat/>
    <w:locked/>
    <w:uiPriority w:val="0"/>
    <w:rPr>
      <w:rFonts w:eastAsia="仿宋"/>
      <w:sz w:val="21"/>
      <w14:ligatures w14:val="none"/>
    </w:rPr>
  </w:style>
  <w:style w:type="paragraph" w:customStyle="1" w:styleId="119">
    <w:name w:val="修订1"/>
    <w:hidden/>
    <w:qFormat/>
    <w:uiPriority w:val="99"/>
    <w:pPr>
      <w:spacing w:after="0" w:line="240" w:lineRule="auto"/>
    </w:pPr>
    <w:rPr>
      <w:rFonts w:eastAsia="宋体" w:asciiTheme="minorHAnsi" w:hAnsiTheme="minorHAnsi" w:cstheme="minorBidi"/>
      <w:kern w:val="2"/>
      <w:sz w:val="24"/>
      <w:szCs w:val="22"/>
      <w:lang w:val="en-US" w:eastAsia="zh-CN" w:bidi="ar-SA"/>
      <w14:ligatures w14:val="standardContextual"/>
    </w:rPr>
  </w:style>
  <w:style w:type="paragraph" w:customStyle="1" w:styleId="120">
    <w:name w:val="G_标题5"/>
    <w:basedOn w:val="1"/>
    <w:next w:val="121"/>
    <w:qFormat/>
    <w:uiPriority w:val="0"/>
    <w:pPr>
      <w:tabs>
        <w:tab w:val="left" w:pos="720"/>
        <w:tab w:val="left" w:pos="1800"/>
      </w:tabs>
      <w:spacing w:line="360" w:lineRule="auto"/>
      <w:ind w:left="720"/>
      <w:outlineLvl w:val="4"/>
    </w:pPr>
    <w:rPr>
      <w:rFonts w:ascii="Calibri" w:hAnsi="Calibri" w:cs="Times New Roman"/>
      <w:b/>
      <w:sz w:val="28"/>
      <w:szCs w:val="21"/>
      <w14:ligatures w14:val="none"/>
    </w:rPr>
  </w:style>
  <w:style w:type="paragraph" w:customStyle="1" w:styleId="121">
    <w:name w:val="G_标题4"/>
    <w:basedOn w:val="122"/>
    <w:next w:val="1"/>
    <w:qFormat/>
    <w:uiPriority w:val="0"/>
    <w:pPr>
      <w:tabs>
        <w:tab w:val="left" w:pos="0"/>
        <w:tab w:val="left" w:pos="284"/>
        <w:tab w:val="left" w:pos="426"/>
        <w:tab w:val="left" w:pos="720"/>
        <w:tab w:val="left" w:pos="1647"/>
        <w:tab w:val="left" w:pos="3969"/>
      </w:tabs>
      <w:spacing w:afterLines="100"/>
      <w:ind w:left="0"/>
      <w:outlineLvl w:val="3"/>
    </w:pPr>
    <w:rPr>
      <w:sz w:val="30"/>
    </w:rPr>
  </w:style>
  <w:style w:type="paragraph" w:customStyle="1" w:styleId="122">
    <w:name w:val="G_标题3"/>
    <w:basedOn w:val="123"/>
    <w:next w:val="1"/>
    <w:link w:val="124"/>
    <w:qFormat/>
    <w:uiPriority w:val="0"/>
    <w:pPr>
      <w:tabs>
        <w:tab w:val="left" w:pos="426"/>
        <w:tab w:val="left" w:pos="720"/>
        <w:tab w:val="left" w:pos="1647"/>
      </w:tabs>
      <w:ind w:left="200"/>
      <w:outlineLvl w:val="2"/>
    </w:pPr>
    <w:rPr>
      <w:rFonts w:asciiTheme="minorHAnsi" w:hAnsiTheme="minorHAnsi" w:eastAsiaTheme="minorEastAsia" w:cstheme="minorBidi"/>
      <w:kern w:val="2"/>
      <w:sz w:val="32"/>
    </w:rPr>
  </w:style>
  <w:style w:type="paragraph" w:customStyle="1" w:styleId="123">
    <w:name w:val="G_标题2"/>
    <w:basedOn w:val="1"/>
    <w:next w:val="1"/>
    <w:qFormat/>
    <w:uiPriority w:val="0"/>
    <w:pPr>
      <w:widowControl/>
      <w:tabs>
        <w:tab w:val="left" w:pos="426"/>
        <w:tab w:val="left" w:pos="720"/>
      </w:tabs>
      <w:spacing w:beforeLines="100" w:line="360" w:lineRule="auto"/>
      <w:ind w:left="400"/>
      <w:jc w:val="left"/>
      <w:outlineLvl w:val="1"/>
    </w:pPr>
    <w:rPr>
      <w:rFonts w:ascii="Times New Roman" w:hAnsi="Times New Roman" w:cs="Times New Roman"/>
      <w:b/>
      <w:bCs/>
      <w:kern w:val="0"/>
      <w:sz w:val="36"/>
      <w:szCs w:val="28"/>
      <w14:ligatures w14:val="none"/>
    </w:rPr>
  </w:style>
  <w:style w:type="character" w:customStyle="1" w:styleId="124">
    <w:name w:val="G_标题3 Char"/>
    <w:link w:val="122"/>
    <w:qFormat/>
    <w:locked/>
    <w:uiPriority w:val="0"/>
    <w:rPr>
      <w:b/>
      <w:bCs/>
      <w:sz w:val="32"/>
      <w:szCs w:val="28"/>
      <w14:ligatures w14:val="none"/>
    </w:rPr>
  </w:style>
  <w:style w:type="paragraph" w:customStyle="1" w:styleId="125">
    <w:name w:val="sq_标题1"/>
    <w:basedOn w:val="1"/>
    <w:next w:val="1"/>
    <w:link w:val="126"/>
    <w:qFormat/>
    <w:uiPriority w:val="0"/>
    <w:pPr>
      <w:widowControl/>
      <w:tabs>
        <w:tab w:val="left" w:pos="720"/>
      </w:tabs>
      <w:spacing w:before="100" w:beforeAutospacing="1" w:afterLines="150" w:line="360" w:lineRule="auto"/>
      <w:ind w:left="720" w:hanging="720"/>
      <w:jc w:val="center"/>
      <w:outlineLvl w:val="0"/>
    </w:pPr>
    <w:rPr>
      <w:rFonts w:ascii="Times New Roman" w:hAnsi="Times New Roman" w:cs="Times New Roman"/>
      <w:b/>
      <w:bCs/>
      <w:kern w:val="0"/>
      <w:sz w:val="32"/>
      <w:szCs w:val="44"/>
      <w14:ligatures w14:val="none"/>
    </w:rPr>
  </w:style>
  <w:style w:type="character" w:customStyle="1" w:styleId="126">
    <w:name w:val="sq_标题1 Char"/>
    <w:basedOn w:val="46"/>
    <w:link w:val="125"/>
    <w:qFormat/>
    <w:uiPriority w:val="0"/>
    <w:rPr>
      <w:rFonts w:ascii="Times New Roman" w:hAnsi="Times New Roman" w:eastAsia="宋体" w:cs="Times New Roman"/>
      <w:b/>
      <w:bCs/>
      <w:kern w:val="0"/>
      <w:sz w:val="32"/>
      <w:szCs w:val="44"/>
      <w14:ligatures w14:val="none"/>
    </w:rPr>
  </w:style>
  <w:style w:type="paragraph" w:customStyle="1" w:styleId="127">
    <w:name w:val="sq_标题3"/>
    <w:basedOn w:val="128"/>
    <w:next w:val="1"/>
    <w:link w:val="130"/>
    <w:qFormat/>
    <w:uiPriority w:val="0"/>
    <w:pPr>
      <w:tabs>
        <w:tab w:val="left" w:pos="720"/>
      </w:tabs>
      <w:outlineLvl w:val="2"/>
    </w:pPr>
    <w:rPr>
      <w:bCs/>
      <w:sz w:val="28"/>
      <w:szCs w:val="32"/>
    </w:rPr>
  </w:style>
  <w:style w:type="paragraph" w:customStyle="1" w:styleId="128">
    <w:name w:val="sq_标题2"/>
    <w:basedOn w:val="125"/>
    <w:next w:val="1"/>
    <w:link w:val="129"/>
    <w:qFormat/>
    <w:uiPriority w:val="0"/>
    <w:pPr>
      <w:spacing w:before="50" w:beforeLines="50" w:beforeAutospacing="0" w:after="50" w:afterLines="50"/>
      <w:jc w:val="left"/>
      <w:outlineLvl w:val="1"/>
    </w:pPr>
    <w:rPr>
      <w:bCs w:val="0"/>
      <w:sz w:val="30"/>
      <w:szCs w:val="36"/>
    </w:rPr>
  </w:style>
  <w:style w:type="character" w:customStyle="1" w:styleId="129">
    <w:name w:val="sq_标题2 Char"/>
    <w:basedOn w:val="126"/>
    <w:link w:val="128"/>
    <w:qFormat/>
    <w:uiPriority w:val="0"/>
    <w:rPr>
      <w:rFonts w:ascii="Times New Roman" w:hAnsi="Times New Roman" w:eastAsia="宋体" w:cs="Times New Roman"/>
      <w:bCs w:val="0"/>
      <w:kern w:val="0"/>
      <w:sz w:val="30"/>
      <w:szCs w:val="36"/>
      <w14:ligatures w14:val="none"/>
    </w:rPr>
  </w:style>
  <w:style w:type="character" w:customStyle="1" w:styleId="130">
    <w:name w:val="sq_标题3 Char"/>
    <w:basedOn w:val="129"/>
    <w:link w:val="127"/>
    <w:qFormat/>
    <w:uiPriority w:val="0"/>
    <w:rPr>
      <w:rFonts w:ascii="Times New Roman" w:hAnsi="Times New Roman" w:eastAsia="宋体" w:cs="Times New Roman"/>
      <w:bCs/>
      <w:kern w:val="0"/>
      <w:sz w:val="28"/>
      <w:szCs w:val="32"/>
      <w14:ligatures w14:val="none"/>
    </w:rPr>
  </w:style>
  <w:style w:type="paragraph" w:customStyle="1" w:styleId="131">
    <w:name w:val="G_标题1"/>
    <w:basedOn w:val="1"/>
    <w:next w:val="1"/>
    <w:qFormat/>
    <w:uiPriority w:val="0"/>
    <w:pPr>
      <w:widowControl/>
      <w:tabs>
        <w:tab w:val="left" w:pos="720"/>
      </w:tabs>
      <w:spacing w:line="360" w:lineRule="auto"/>
      <w:jc w:val="center"/>
      <w:outlineLvl w:val="0"/>
    </w:pPr>
    <w:rPr>
      <w:rFonts w:ascii="Times New Roman" w:hAnsi="Times New Roman" w:cs="Times New Roman"/>
      <w:b/>
      <w:bCs/>
      <w:kern w:val="0"/>
      <w:sz w:val="44"/>
      <w:szCs w:val="32"/>
      <w14:ligatures w14:val="none"/>
    </w:rPr>
  </w:style>
  <w:style w:type="paragraph" w:customStyle="1" w:styleId="132">
    <w:name w:val="最新标题2"/>
    <w:basedOn w:val="1"/>
    <w:next w:val="133"/>
    <w:qFormat/>
    <w:uiPriority w:val="99"/>
    <w:pPr>
      <w:keepNext/>
      <w:snapToGrid w:val="0"/>
      <w:spacing w:before="120" w:line="360" w:lineRule="auto"/>
      <w:ind w:left="1680"/>
      <w:jc w:val="left"/>
      <w:outlineLvl w:val="1"/>
    </w:pPr>
    <w:rPr>
      <w:rFonts w:ascii="宋体" w:hAnsi="宋体" w:cs="宋体"/>
      <w:b/>
      <w:bCs/>
      <w:kern w:val="0"/>
      <w:sz w:val="28"/>
      <w:szCs w:val="20"/>
      <w14:ligatures w14:val="none"/>
    </w:rPr>
  </w:style>
  <w:style w:type="paragraph" w:customStyle="1" w:styleId="133">
    <w:name w:val="最新标题3"/>
    <w:basedOn w:val="1"/>
    <w:next w:val="1"/>
    <w:qFormat/>
    <w:uiPriority w:val="99"/>
    <w:pPr>
      <w:keepNext/>
      <w:snapToGrid w:val="0"/>
      <w:spacing w:before="120" w:line="360" w:lineRule="auto"/>
      <w:ind w:left="2520"/>
      <w:jc w:val="left"/>
      <w:outlineLvl w:val="2"/>
    </w:pPr>
    <w:rPr>
      <w:rFonts w:ascii="宋体" w:hAnsi="宋体" w:cs="宋体"/>
      <w:b/>
      <w:bCs/>
      <w:kern w:val="0"/>
      <w:szCs w:val="20"/>
      <w14:ligatures w14:val="none"/>
    </w:rPr>
  </w:style>
  <w:style w:type="character" w:customStyle="1" w:styleId="134">
    <w:name w:val="font71"/>
    <w:basedOn w:val="46"/>
    <w:qFormat/>
    <w:uiPriority w:val="0"/>
    <w:rPr>
      <w:rFonts w:hint="eastAsia" w:ascii="宋体" w:hAnsi="宋体" w:eastAsia="宋体" w:cs="宋体"/>
      <w:b/>
      <w:bCs/>
      <w:color w:val="000000"/>
      <w:sz w:val="24"/>
      <w:szCs w:val="24"/>
      <w:u w:val="none"/>
    </w:rPr>
  </w:style>
  <w:style w:type="character" w:customStyle="1" w:styleId="135">
    <w:name w:val="智业正文 Char"/>
    <w:basedOn w:val="46"/>
    <w:link w:val="136"/>
    <w:qFormat/>
    <w:locked/>
    <w:uiPriority w:val="0"/>
    <w:rPr>
      <w:sz w:val="24"/>
    </w:rPr>
  </w:style>
  <w:style w:type="paragraph" w:customStyle="1" w:styleId="136">
    <w:name w:val="智业正文"/>
    <w:basedOn w:val="1"/>
    <w:link w:val="135"/>
    <w:qFormat/>
    <w:uiPriority w:val="0"/>
    <w:pPr>
      <w:spacing w:line="360" w:lineRule="auto"/>
      <w:ind w:firstLine="200" w:firstLineChars="200"/>
    </w:pPr>
    <w:rPr>
      <w:rFonts w:eastAsiaTheme="minorEastAsia"/>
      <w:szCs w:val="24"/>
    </w:rPr>
  </w:style>
  <w:style w:type="character" w:customStyle="1" w:styleId="137">
    <w:name w:val="_Style 1"/>
    <w:qFormat/>
    <w:uiPriority w:val="31"/>
    <w:rPr>
      <w:smallCaps/>
      <w:color w:val="auto"/>
      <w:u w:val="single" w:color="7F7F7F"/>
    </w:rPr>
  </w:style>
  <w:style w:type="paragraph" w:customStyle="1" w:styleId="138">
    <w:name w:val="msolistparagraph"/>
    <w:basedOn w:val="1"/>
    <w:link w:val="139"/>
    <w:qFormat/>
    <w:uiPriority w:val="0"/>
    <w:pPr>
      <w:spacing w:line="360" w:lineRule="auto"/>
      <w:ind w:firstLine="420" w:firstLineChars="200"/>
    </w:pPr>
    <w:rPr>
      <w:rFonts w:eastAsiaTheme="minorEastAsia"/>
      <w:szCs w:val="24"/>
      <w14:ligatures w14:val="none"/>
    </w:rPr>
  </w:style>
  <w:style w:type="character" w:customStyle="1" w:styleId="139">
    <w:name w:val="列出段落 Char1"/>
    <w:basedOn w:val="46"/>
    <w:link w:val="138"/>
    <w:qFormat/>
    <w:uiPriority w:val="0"/>
    <w:rPr>
      <w:sz w:val="24"/>
      <w14:ligatures w14:val="none"/>
    </w:rPr>
  </w:style>
  <w:style w:type="character" w:customStyle="1" w:styleId="140">
    <w:name w:val="不明显参考11"/>
    <w:qFormat/>
    <w:uiPriority w:val="31"/>
    <w:rPr>
      <w:sz w:val="24"/>
      <w:szCs w:val="24"/>
      <w:u w:val="single"/>
    </w:rPr>
  </w:style>
  <w:style w:type="paragraph" w:customStyle="1" w:styleId="141">
    <w:name w:val="列出段落6"/>
    <w:basedOn w:val="1"/>
    <w:qFormat/>
    <w:uiPriority w:val="99"/>
    <w:pPr>
      <w:spacing w:line="360" w:lineRule="auto"/>
      <w:ind w:firstLine="420" w:firstLineChars="200"/>
    </w:pPr>
    <w:rPr>
      <w:rFonts w:ascii="Calibri" w:hAnsi="Calibri" w:cs="Times New Roman"/>
      <w:szCs w:val="24"/>
      <w14:ligatures w14:val="none"/>
    </w:rPr>
  </w:style>
  <w:style w:type="character" w:customStyle="1" w:styleId="142">
    <w:name w:val="font91"/>
    <w:basedOn w:val="46"/>
    <w:qFormat/>
    <w:uiPriority w:val="0"/>
    <w:rPr>
      <w:rFonts w:hint="eastAsia" w:ascii="宋体" w:hAnsi="宋体" w:eastAsia="宋体" w:cs="宋体"/>
      <w:b/>
      <w:bCs/>
      <w:color w:val="000000"/>
      <w:sz w:val="24"/>
      <w:szCs w:val="24"/>
      <w:u w:val="none"/>
    </w:rPr>
  </w:style>
  <w:style w:type="paragraph" w:customStyle="1" w:styleId="143">
    <w:name w:val="正文样式"/>
    <w:basedOn w:val="42"/>
    <w:link w:val="144"/>
    <w:qFormat/>
    <w:uiPriority w:val="0"/>
    <w:pPr>
      <w:spacing w:after="0" w:line="360" w:lineRule="auto"/>
      <w:ind w:firstLine="200" w:firstLineChars="200"/>
    </w:pPr>
    <w:rPr>
      <w:rFonts w:ascii="宋体" w:hAnsi="宋体" w:cstheme="minorBidi"/>
    </w:rPr>
  </w:style>
  <w:style w:type="character" w:customStyle="1" w:styleId="144">
    <w:name w:val="正文样式 Char"/>
    <w:link w:val="143"/>
    <w:qFormat/>
    <w:locked/>
    <w:uiPriority w:val="0"/>
    <w:rPr>
      <w:rFonts w:ascii="宋体" w:hAnsi="宋体" w:eastAsia="宋体"/>
      <w:sz w:val="24"/>
      <w14:ligatures w14:val="none"/>
    </w:rPr>
  </w:style>
  <w:style w:type="paragraph" w:customStyle="1" w:styleId="145">
    <w:name w:val="特殊编号1"/>
    <w:basedOn w:val="1"/>
    <w:qFormat/>
    <w:uiPriority w:val="0"/>
    <w:pPr>
      <w:framePr w:wrap="notBeside" w:vAnchor="text" w:hAnchor="text" w:y="1"/>
      <w:widowControl/>
      <w:adjustRightInd w:val="0"/>
      <w:snapToGrid w:val="0"/>
      <w:spacing w:beforeLines="25" w:afterLines="25" w:line="360" w:lineRule="auto"/>
      <w:ind w:left="2520"/>
      <w:jc w:val="left"/>
    </w:pPr>
    <w:rPr>
      <w:rFonts w:ascii="Times New Roman" w:hAnsi="Times New Roman" w:cs="Times New Roman"/>
      <w:color w:val="000000"/>
      <w:kern w:val="0"/>
      <w:szCs w:val="21"/>
      <w14:ligatures w14:val="none"/>
    </w:rPr>
  </w:style>
  <w:style w:type="character" w:customStyle="1" w:styleId="146">
    <w:name w:val="font161"/>
    <w:basedOn w:val="46"/>
    <w:qFormat/>
    <w:uiPriority w:val="0"/>
    <w:rPr>
      <w:rFonts w:hint="eastAsia" w:ascii="宋体" w:hAnsi="宋体" w:eastAsia="宋体" w:cs="宋体"/>
      <w:b/>
      <w:bCs/>
      <w:color w:val="FF0000"/>
      <w:sz w:val="24"/>
      <w:szCs w:val="24"/>
      <w:u w:val="none"/>
    </w:rPr>
  </w:style>
  <w:style w:type="paragraph" w:customStyle="1" w:styleId="147">
    <w:name w:val="DLP正文"/>
    <w:basedOn w:val="1"/>
    <w:qFormat/>
    <w:uiPriority w:val="99"/>
    <w:pPr>
      <w:snapToGrid w:val="0"/>
      <w:spacing w:line="360" w:lineRule="auto"/>
      <w:ind w:firstLine="473" w:firstLineChars="200"/>
    </w:pPr>
    <w:rPr>
      <w:rFonts w:ascii="Times New Roman" w:hAnsi="宋体" w:cs="Times New Roman"/>
      <w14:ligatures w14:val="none"/>
    </w:rPr>
  </w:style>
  <w:style w:type="character" w:customStyle="1" w:styleId="148">
    <w:name w:val="明显参考11"/>
    <w:qFormat/>
    <w:uiPriority w:val="32"/>
    <w:rPr>
      <w:b/>
      <w:sz w:val="24"/>
      <w:u w:val="single"/>
    </w:rPr>
  </w:style>
  <w:style w:type="paragraph" w:customStyle="1" w:styleId="149">
    <w:name w:val="表格字体"/>
    <w:basedOn w:val="1"/>
    <w:next w:val="1"/>
    <w:qFormat/>
    <w:uiPriority w:val="99"/>
    <w:pPr>
      <w:spacing w:beforeLines="50" w:line="360" w:lineRule="auto"/>
      <w:jc w:val="center"/>
    </w:pPr>
    <w:rPr>
      <w:rFonts w:ascii="Times New Roman" w:hAnsi="Times New Roman" w:cs="Times New Roman"/>
      <w:szCs w:val="24"/>
      <w14:ligatures w14:val="none"/>
    </w:rPr>
  </w:style>
  <w:style w:type="paragraph" w:customStyle="1" w:styleId="150">
    <w:name w:val="论文正文"/>
    <w:basedOn w:val="14"/>
    <w:qFormat/>
    <w:uiPriority w:val="0"/>
    <w:pPr>
      <w:spacing w:before="0" w:beforeLines="0" w:after="0" w:afterLines="0"/>
      <w:ind w:firstLine="480"/>
    </w:pPr>
    <w:rPr>
      <w:rFonts w:cs="Times New Roman"/>
      <w:bCs/>
      <w:szCs w:val="24"/>
    </w:rPr>
  </w:style>
  <w:style w:type="paragraph" w:customStyle="1" w:styleId="151">
    <w:name w:val="33-1级列表编号-1"/>
    <w:basedOn w:val="1"/>
    <w:next w:val="1"/>
    <w:qFormat/>
    <w:uiPriority w:val="99"/>
    <w:pPr>
      <w:tabs>
        <w:tab w:val="left" w:pos="720"/>
      </w:tabs>
      <w:adjustRightInd w:val="0"/>
      <w:spacing w:line="360" w:lineRule="exact"/>
      <w:ind w:left="720"/>
    </w:pPr>
    <w:rPr>
      <w:rFonts w:ascii="Times New Roman" w:hAnsi="Times New Roman" w:cs="Times New Roman"/>
      <w:sz w:val="21"/>
      <w:szCs w:val="24"/>
      <w14:ligatures w14:val="none"/>
    </w:rPr>
  </w:style>
  <w:style w:type="paragraph" w:customStyle="1" w:styleId="152">
    <w:name w:val="G_正文1"/>
    <w:basedOn w:val="1"/>
    <w:qFormat/>
    <w:uiPriority w:val="99"/>
    <w:pPr>
      <w:tabs>
        <w:tab w:val="left" w:pos="720"/>
      </w:tabs>
      <w:spacing w:line="360" w:lineRule="auto"/>
      <w:ind w:left="720"/>
    </w:pPr>
    <w:rPr>
      <w:rFonts w:ascii="Calibri" w:hAnsi="Calibri" w:cs="Times New Roman"/>
      <w14:ligatures w14:val="none"/>
    </w:rPr>
  </w:style>
  <w:style w:type="character" w:customStyle="1" w:styleId="153">
    <w:name w:val="正文文本缩进 字符1"/>
    <w:basedOn w:val="46"/>
    <w:semiHidden/>
    <w:qFormat/>
    <w:uiPriority w:val="99"/>
    <w:rPr>
      <w:rFonts w:ascii="Times New Roman" w:hAnsi="Times New Roman"/>
      <w:sz w:val="24"/>
    </w:rPr>
  </w:style>
  <w:style w:type="paragraph" w:customStyle="1" w:styleId="154">
    <w:name w:val="TOC 标题2"/>
    <w:basedOn w:val="2"/>
    <w:next w:val="1"/>
    <w:unhideWhenUsed/>
    <w:qFormat/>
    <w:uiPriority w:val="39"/>
    <w:pPr>
      <w:widowControl/>
      <w:numPr>
        <w:numId w:val="0"/>
      </w:numPr>
      <w:spacing w:before="240" w:beforeLines="50" w:after="0" w:line="259" w:lineRule="auto"/>
      <w:jc w:val="left"/>
      <w:outlineLvl w:val="9"/>
    </w:pPr>
    <w:rPr>
      <w:rFonts w:eastAsiaTheme="majorEastAsia"/>
      <w:color w:val="2F5597" w:themeColor="accent1" w:themeShade="BF"/>
      <w:kern w:val="0"/>
      <w:sz w:val="32"/>
      <w:szCs w:val="32"/>
      <w14:ligatures w14:val="none"/>
    </w:rPr>
  </w:style>
  <w:style w:type="character" w:customStyle="1" w:styleId="155">
    <w:name w:val="未处理的提及4"/>
    <w:basedOn w:val="46"/>
    <w:semiHidden/>
    <w:unhideWhenUsed/>
    <w:qFormat/>
    <w:uiPriority w:val="99"/>
    <w:rPr>
      <w:color w:val="605E5C"/>
      <w:shd w:val="clear" w:color="auto" w:fill="E1DFDD"/>
    </w:rPr>
  </w:style>
  <w:style w:type="paragraph" w:customStyle="1" w:styleId="156">
    <w:name w:val="1正文1"/>
    <w:basedOn w:val="1"/>
    <w:link w:val="157"/>
    <w:qFormat/>
    <w:uiPriority w:val="0"/>
    <w:pPr>
      <w:spacing w:line="360" w:lineRule="auto"/>
      <w:ind w:firstLine="200" w:firstLineChars="200"/>
    </w:pPr>
    <w:rPr>
      <w:rFonts w:ascii="宋体" w:hAnsi="宋体" w:eastAsia="仿宋"/>
      <w:sz w:val="28"/>
      <w14:ligatures w14:val="none"/>
    </w:rPr>
  </w:style>
  <w:style w:type="character" w:customStyle="1" w:styleId="157">
    <w:name w:val="1正文1 Char"/>
    <w:link w:val="156"/>
    <w:qFormat/>
    <w:locked/>
    <w:uiPriority w:val="0"/>
    <w:rPr>
      <w:rFonts w:ascii="宋体" w:hAnsi="宋体" w:eastAsia="仿宋"/>
      <w:sz w:val="28"/>
      <w:szCs w:val="22"/>
      <w14:ligatures w14:val="none"/>
    </w:rPr>
  </w:style>
  <w:style w:type="character" w:customStyle="1" w:styleId="158">
    <w:name w:val="正文文本 Char1"/>
    <w:qFormat/>
    <w:uiPriority w:val="0"/>
    <w:rPr>
      <w:rFonts w:hint="default" w:ascii="Times New Roman" w:hAnsi="Times New Roman" w:eastAsia="宋体" w:cs="Times New Roman"/>
      <w:szCs w:val="24"/>
    </w:rPr>
  </w:style>
  <w:style w:type="paragraph" w:customStyle="1" w:styleId="159">
    <w:name w:val="表注"/>
    <w:basedOn w:val="15"/>
    <w:link w:val="160"/>
    <w:qFormat/>
    <w:uiPriority w:val="0"/>
    <w:pPr>
      <w:keepNext/>
      <w:adjustRightInd/>
      <w:snapToGrid/>
      <w:spacing w:before="0" w:after="0" w:afterLines="0" w:line="240" w:lineRule="auto"/>
      <w:ind w:firstLine="403"/>
    </w:pPr>
    <w:rPr>
      <w:rFonts w:ascii="Arial" w:hAnsi="Arial" w:eastAsia="黑体" w:cs="Arial"/>
      <w:szCs w:val="22"/>
    </w:rPr>
  </w:style>
  <w:style w:type="character" w:customStyle="1" w:styleId="160">
    <w:name w:val="表注 Char"/>
    <w:link w:val="159"/>
    <w:qFormat/>
    <w:locked/>
    <w:uiPriority w:val="0"/>
    <w:rPr>
      <w:rFonts w:ascii="Arial" w:hAnsi="Arial" w:eastAsia="黑体" w:cs="Arial"/>
      <w:sz w:val="21"/>
      <w:szCs w:val="22"/>
      <w14:ligatures w14:val="none"/>
    </w:rPr>
  </w:style>
  <w:style w:type="character" w:customStyle="1" w:styleId="161">
    <w:name w:val="标题 3 Char Char"/>
    <w:basedOn w:val="46"/>
    <w:qFormat/>
    <w:uiPriority w:val="0"/>
    <w:rPr>
      <w:rFonts w:hint="default" w:ascii="Tahoma" w:hAnsi="Tahoma" w:eastAsia="宋体" w:cs="Tahoma"/>
      <w:b/>
      <w:bCs/>
      <w:snapToGrid w:val="0"/>
      <w:kern w:val="2"/>
      <w:sz w:val="32"/>
      <w:szCs w:val="32"/>
      <w:lang w:val="en-US" w:eastAsia="zh-CN" w:bidi="ar-SA"/>
    </w:rPr>
  </w:style>
  <w:style w:type="paragraph" w:customStyle="1" w:styleId="162">
    <w:name w:val="样式 左侧:  1.25 厘米 段前: 4 磅 段后: 4 磅 行距: 最小值 10 磅"/>
    <w:basedOn w:val="1"/>
    <w:qFormat/>
    <w:uiPriority w:val="0"/>
    <w:pPr>
      <w:adjustRightInd w:val="0"/>
      <w:snapToGrid w:val="0"/>
      <w:spacing w:before="80" w:beforeLines="25" w:after="80" w:afterLines="25" w:line="200" w:lineRule="atLeast"/>
      <w:ind w:left="709"/>
    </w:pPr>
    <w:rPr>
      <w:rFonts w:ascii="Times New Roman" w:hAnsi="Times New Roman" w:cs="宋体"/>
      <w:sz w:val="18"/>
      <w:szCs w:val="18"/>
      <w14:ligatures w14:val="none"/>
    </w:rPr>
  </w:style>
  <w:style w:type="character" w:customStyle="1" w:styleId="163">
    <w:name w:val="标题 5 Char"/>
    <w:qFormat/>
    <w:uiPriority w:val="0"/>
    <w:rPr>
      <w:b/>
      <w:bCs/>
      <w:kern w:val="2"/>
      <w:sz w:val="28"/>
      <w:szCs w:val="28"/>
    </w:rPr>
  </w:style>
  <w:style w:type="paragraph" w:customStyle="1" w:styleId="164">
    <w:name w:val="0段落文字"/>
    <w:basedOn w:val="1"/>
    <w:qFormat/>
    <w:uiPriority w:val="99"/>
    <w:pPr>
      <w:spacing w:line="360" w:lineRule="auto"/>
      <w:ind w:firstLine="200" w:firstLineChars="200"/>
    </w:pPr>
    <w:rPr>
      <w:rFonts w:ascii="Calibri" w:hAnsi="Calibri" w:cs="Times New Roman"/>
      <w:szCs w:val="21"/>
      <w:lang w:val="zh-CN"/>
      <w14:ligatures w14:val="none"/>
    </w:rPr>
  </w:style>
  <w:style w:type="paragraph" w:customStyle="1" w:styleId="165">
    <w:name w:val="四号正文"/>
    <w:basedOn w:val="1"/>
    <w:qFormat/>
    <w:uiPriority w:val="99"/>
    <w:pPr>
      <w:spacing w:line="360" w:lineRule="auto"/>
      <w:ind w:firstLine="560" w:firstLineChars="200"/>
    </w:pPr>
    <w:rPr>
      <w:rFonts w:ascii="Times New Roman" w:hAnsi="Times New Roman" w:eastAsiaTheme="minorEastAsia"/>
      <w:sz w:val="28"/>
      <w:szCs w:val="28"/>
      <w14:ligatures w14:val="none"/>
    </w:rPr>
  </w:style>
  <w:style w:type="paragraph" w:customStyle="1" w:styleId="166">
    <w:name w:val="Numbered list 2.3"/>
    <w:basedOn w:val="4"/>
    <w:next w:val="1"/>
    <w:qFormat/>
    <w:uiPriority w:val="99"/>
    <w:pPr>
      <w:framePr w:hSpace="181" w:wrap="around" w:vAnchor="text" w:hAnchor="margin" w:xAlign="center" w:y="1"/>
      <w:numPr>
        <w:numId w:val="2"/>
      </w:numPr>
      <w:tabs>
        <w:tab w:val="left" w:pos="720"/>
        <w:tab w:val="left" w:pos="2160"/>
      </w:tabs>
      <w:spacing w:before="260" w:after="260" w:line="360" w:lineRule="auto"/>
      <w:ind w:left="0" w:firstLine="0"/>
      <w:jc w:val="center"/>
    </w:pPr>
    <w:rPr>
      <w:rFonts w:ascii="宋体" w:hAnsi="宋体" w:eastAsia="宋体" w:cs="Times New Roman"/>
      <w:b/>
      <w:bCs/>
      <w:color w:val="auto"/>
      <w14:ligatures w14:val="none"/>
    </w:rPr>
  </w:style>
  <w:style w:type="paragraph" w:customStyle="1" w:styleId="167">
    <w:name w:val="TOC 标题11"/>
    <w:basedOn w:val="2"/>
    <w:next w:val="1"/>
    <w:unhideWhenUsed/>
    <w:qFormat/>
    <w:uiPriority w:val="39"/>
    <w:pPr>
      <w:widowControl/>
      <w:numPr>
        <w:numId w:val="0"/>
      </w:numPr>
      <w:spacing w:before="240" w:beforeLines="50" w:after="0" w:line="259" w:lineRule="auto"/>
      <w:jc w:val="left"/>
      <w:outlineLvl w:val="9"/>
    </w:pPr>
    <w:rPr>
      <w:rFonts w:eastAsiaTheme="majorEastAsia"/>
      <w:color w:val="2F5597" w:themeColor="accent1" w:themeShade="BF"/>
      <w:kern w:val="0"/>
      <w:sz w:val="32"/>
      <w:szCs w:val="32"/>
      <w14:ligatures w14:val="none"/>
    </w:rPr>
  </w:style>
  <w:style w:type="table" w:customStyle="1" w:styleId="168">
    <w:name w:val="网格型1"/>
    <w:basedOn w:val="44"/>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9">
    <w:name w:val="列出段落3"/>
    <w:basedOn w:val="1"/>
    <w:qFormat/>
    <w:uiPriority w:val="99"/>
    <w:pPr>
      <w:spacing w:line="360" w:lineRule="auto"/>
      <w:ind w:firstLine="420" w:firstLineChars="200"/>
    </w:pPr>
    <w:rPr>
      <w:rFonts w:ascii="Calibri" w:hAnsi="Calibri" w:cs="Times New Roman"/>
      <w:sz w:val="21"/>
      <w14:ligatures w14:val="none"/>
    </w:rPr>
  </w:style>
  <w:style w:type="character" w:customStyle="1" w:styleId="170">
    <w:name w:val="明显强调111"/>
    <w:qFormat/>
    <w:uiPriority w:val="21"/>
    <w:rPr>
      <w:b/>
      <w:i/>
      <w:sz w:val="24"/>
      <w:szCs w:val="24"/>
      <w:u w:val="single"/>
    </w:rPr>
  </w:style>
  <w:style w:type="character" w:customStyle="1" w:styleId="171">
    <w:name w:val="未处理的提及2"/>
    <w:basedOn w:val="46"/>
    <w:semiHidden/>
    <w:unhideWhenUsed/>
    <w:qFormat/>
    <w:uiPriority w:val="99"/>
    <w:rPr>
      <w:color w:val="605E5C"/>
      <w:shd w:val="clear" w:color="auto" w:fill="E1DFDD"/>
    </w:rPr>
  </w:style>
  <w:style w:type="paragraph" w:customStyle="1" w:styleId="172">
    <w:name w:val="Documentation"/>
    <w:basedOn w:val="173"/>
    <w:qFormat/>
    <w:uiPriority w:val="0"/>
    <w:rPr>
      <w:i/>
    </w:rPr>
  </w:style>
  <w:style w:type="paragraph" w:customStyle="1" w:styleId="173">
    <w:name w:val="Indented Text"/>
    <w:basedOn w:val="1"/>
    <w:qFormat/>
    <w:uiPriority w:val="0"/>
    <w:pPr>
      <w:widowControl/>
      <w:adjustRightInd w:val="0"/>
      <w:snapToGrid w:val="0"/>
      <w:spacing w:beforeLines="25" w:afterLines="25" w:line="360" w:lineRule="auto"/>
      <w:ind w:left="720"/>
      <w:jc w:val="left"/>
    </w:pPr>
    <w:rPr>
      <w:rFonts w:ascii="Times New Roman" w:hAnsi="Times New Roman" w:cs="Times New Roman"/>
      <w:kern w:val="0"/>
      <w:sz w:val="20"/>
      <w:szCs w:val="20"/>
      <w:lang w:eastAsia="en-US"/>
      <w14:ligatures w14:val="none"/>
    </w:rPr>
  </w:style>
  <w:style w:type="character" w:customStyle="1" w:styleId="174">
    <w:name w:val="标题2 Char"/>
    <w:link w:val="175"/>
    <w:qFormat/>
    <w:uiPriority w:val="0"/>
    <w:rPr>
      <w:rFonts w:ascii="Arial" w:hAnsi="Arial" w:eastAsia="黑体" w:cs="Times New Roman"/>
      <w:iCs/>
      <w:caps/>
      <w:kern w:val="0"/>
      <w:sz w:val="44"/>
      <w:szCs w:val="44"/>
    </w:rPr>
  </w:style>
  <w:style w:type="paragraph" w:customStyle="1" w:styleId="175">
    <w:name w:val="标题2"/>
    <w:basedOn w:val="3"/>
    <w:next w:val="1"/>
    <w:link w:val="174"/>
    <w:qFormat/>
    <w:uiPriority w:val="0"/>
    <w:pPr>
      <w:keepLines w:val="0"/>
      <w:widowControl/>
      <w:numPr>
        <w:ilvl w:val="0"/>
        <w:numId w:val="0"/>
      </w:numPr>
      <w:tabs>
        <w:tab w:val="left" w:pos="567"/>
      </w:tabs>
      <w:adjustRightInd w:val="0"/>
      <w:snapToGrid w:val="0"/>
      <w:spacing w:before="0" w:beforeLines="100" w:after="0" w:afterLines="50"/>
      <w:ind w:left="425" w:hanging="425"/>
      <w:jc w:val="center"/>
    </w:pPr>
    <w:rPr>
      <w:rFonts w:ascii="Arial" w:hAnsi="Arial" w:eastAsia="黑体" w:cs="Times New Roman"/>
      <w:iCs/>
      <w:caps/>
      <w:color w:val="auto"/>
      <w:kern w:val="0"/>
      <w:sz w:val="44"/>
      <w:szCs w:val="44"/>
    </w:rPr>
  </w:style>
  <w:style w:type="character" w:customStyle="1" w:styleId="176">
    <w:name w:val="15"/>
    <w:basedOn w:val="46"/>
    <w:qFormat/>
    <w:uiPriority w:val="0"/>
    <w:rPr>
      <w:rFonts w:hint="default" w:ascii="等线" w:hAnsi="等线" w:eastAsia="等线" w:cs="等线"/>
      <w:color w:val="0563C1"/>
      <w:u w:val="single"/>
    </w:rPr>
  </w:style>
  <w:style w:type="paragraph" w:customStyle="1" w:styleId="177">
    <w:name w:val="修订11"/>
    <w:semiHidden/>
    <w:qFormat/>
    <w:uiPriority w:val="99"/>
    <w:pPr>
      <w:spacing w:after="0" w:line="240" w:lineRule="auto"/>
    </w:pPr>
    <w:rPr>
      <w:rFonts w:cs="Times New Roman" w:asciiTheme="minorHAnsi" w:hAnsiTheme="minorHAnsi" w:eastAsiaTheme="minorEastAsia"/>
      <w:kern w:val="2"/>
      <w:sz w:val="21"/>
      <w:szCs w:val="24"/>
      <w:lang w:val="en-US" w:eastAsia="zh-CN" w:bidi="ar-SA"/>
    </w:rPr>
  </w:style>
  <w:style w:type="character" w:customStyle="1" w:styleId="178">
    <w:name w:val="font81"/>
    <w:basedOn w:val="46"/>
    <w:qFormat/>
    <w:uiPriority w:val="0"/>
    <w:rPr>
      <w:rFonts w:hint="eastAsia" w:ascii="宋体" w:hAnsi="宋体" w:eastAsia="宋体" w:cs="宋体"/>
      <w:color w:val="FF0000"/>
      <w:sz w:val="24"/>
      <w:szCs w:val="24"/>
      <w:u w:val="none"/>
    </w:rPr>
  </w:style>
  <w:style w:type="character" w:customStyle="1" w:styleId="179">
    <w:name w:val="sq_标题4 Char"/>
    <w:basedOn w:val="130"/>
    <w:link w:val="180"/>
    <w:qFormat/>
    <w:uiPriority w:val="0"/>
    <w:rPr>
      <w:rFonts w:ascii="Times New Roman" w:hAnsi="Times New Roman" w:eastAsia="宋体" w:cs="Times New Roman"/>
      <w:kern w:val="0"/>
      <w:sz w:val="24"/>
      <w:szCs w:val="30"/>
      <w14:ligatures w14:val="none"/>
    </w:rPr>
  </w:style>
  <w:style w:type="paragraph" w:customStyle="1" w:styleId="180">
    <w:name w:val="sq_标题4"/>
    <w:basedOn w:val="127"/>
    <w:next w:val="1"/>
    <w:link w:val="179"/>
    <w:qFormat/>
    <w:uiPriority w:val="0"/>
    <w:pPr>
      <w:outlineLvl w:val="3"/>
    </w:pPr>
    <w:rPr>
      <w:sz w:val="24"/>
      <w:szCs w:val="30"/>
    </w:rPr>
  </w:style>
  <w:style w:type="paragraph" w:customStyle="1" w:styleId="181">
    <w:name w:val="文正？"/>
    <w:basedOn w:val="1"/>
    <w:link w:val="182"/>
    <w:qFormat/>
    <w:uiPriority w:val="0"/>
    <w:pPr>
      <w:ind w:firstLine="420"/>
    </w:pPr>
    <w:rPr>
      <w:rFonts w:ascii="Calibri" w:hAnsi="Calibri" w:cs="Calibri" w:eastAsiaTheme="minorEastAsia"/>
      <w:sz w:val="21"/>
      <w14:ligatures w14:val="none"/>
    </w:rPr>
  </w:style>
  <w:style w:type="character" w:customStyle="1" w:styleId="182">
    <w:name w:val="文正？ Char"/>
    <w:link w:val="181"/>
    <w:qFormat/>
    <w:locked/>
    <w:uiPriority w:val="0"/>
    <w:rPr>
      <w:rFonts w:ascii="Calibri" w:hAnsi="Calibri" w:cs="Calibri"/>
      <w:sz w:val="21"/>
      <w:szCs w:val="22"/>
      <w14:ligatures w14:val="none"/>
    </w:rPr>
  </w:style>
  <w:style w:type="paragraph" w:customStyle="1" w:styleId="183">
    <w:name w:val="圖內文"/>
    <w:basedOn w:val="1"/>
    <w:qFormat/>
    <w:uiPriority w:val="99"/>
    <w:pPr>
      <w:kinsoku w:val="0"/>
      <w:adjustRightInd w:val="0"/>
      <w:spacing w:after="240" w:line="360" w:lineRule="auto"/>
      <w:ind w:firstLine="200" w:firstLineChars="200"/>
    </w:pPr>
    <w:rPr>
      <w:rFonts w:ascii="Calibri" w:hAnsi="Calibri" w:eastAsia="DFKai-SB" w:cs="Times New Roman"/>
      <w:kern w:val="0"/>
      <w:szCs w:val="20"/>
      <w:lang w:eastAsia="zh-TW"/>
      <w14:ligatures w14:val="none"/>
    </w:rPr>
  </w:style>
  <w:style w:type="character" w:customStyle="1" w:styleId="184">
    <w:name w:val="font112"/>
    <w:basedOn w:val="46"/>
    <w:qFormat/>
    <w:uiPriority w:val="0"/>
    <w:rPr>
      <w:rFonts w:hint="eastAsia" w:ascii="宋体" w:hAnsi="宋体" w:eastAsia="宋体" w:cs="宋体"/>
      <w:b/>
      <w:bCs/>
      <w:color w:val="000000"/>
      <w:sz w:val="24"/>
      <w:szCs w:val="24"/>
      <w:u w:val="none"/>
    </w:rPr>
  </w:style>
  <w:style w:type="character" w:customStyle="1" w:styleId="185">
    <w:name w:val="正文文本缩进 Char1"/>
    <w:basedOn w:val="46"/>
    <w:semiHidden/>
    <w:qFormat/>
    <w:uiPriority w:val="99"/>
    <w:rPr>
      <w:rFonts w:ascii="Times New Roman" w:hAnsi="Times New Roman"/>
      <w:sz w:val="24"/>
    </w:rPr>
  </w:style>
  <w:style w:type="character" w:customStyle="1" w:styleId="186">
    <w:name w:val="HTML 预设格式 Char1"/>
    <w:basedOn w:val="46"/>
    <w:semiHidden/>
    <w:qFormat/>
    <w:uiPriority w:val="99"/>
    <w:rPr>
      <w:rFonts w:ascii="Courier New" w:hAnsi="Courier New" w:cs="Courier New"/>
      <w:sz w:val="20"/>
      <w:szCs w:val="20"/>
    </w:rPr>
  </w:style>
  <w:style w:type="character" w:customStyle="1" w:styleId="187">
    <w:name w:val="不明显参考1"/>
    <w:qFormat/>
    <w:uiPriority w:val="31"/>
    <w:rPr>
      <w:sz w:val="24"/>
      <w:szCs w:val="24"/>
      <w:u w:val="single"/>
    </w:rPr>
  </w:style>
  <w:style w:type="paragraph" w:customStyle="1" w:styleId="188">
    <w:name w:val="正文 New New New New New New New New New New New New New New New New New New New New New New New New New New New New New New New New New New New New New New"/>
    <w:qFormat/>
    <w:uiPriority w:val="99"/>
    <w:pPr>
      <w:widowControl w:val="0"/>
      <w:spacing w:after="0" w:line="240" w:lineRule="auto"/>
      <w:jc w:val="both"/>
    </w:pPr>
    <w:rPr>
      <w:rFonts w:ascii="Times New Roman" w:hAnsi="Times New Roman" w:eastAsia="宋体" w:cs="Times New Roman"/>
      <w:kern w:val="2"/>
      <w:sz w:val="21"/>
      <w:lang w:val="en-US" w:eastAsia="zh-CN" w:bidi="ar-SA"/>
    </w:rPr>
  </w:style>
  <w:style w:type="paragraph" w:customStyle="1" w:styleId="189">
    <w:name w:val="修订121"/>
    <w:hidden/>
    <w:unhideWhenUsed/>
    <w:qFormat/>
    <w:uiPriority w:val="99"/>
    <w:pPr>
      <w:spacing w:after="0" w:line="240" w:lineRule="auto"/>
    </w:pPr>
    <w:rPr>
      <w:rFonts w:ascii="Times New Roman" w:hAnsi="Times New Roman" w:eastAsia="宋体" w:cstheme="minorBidi"/>
      <w:kern w:val="2"/>
      <w:sz w:val="24"/>
      <w:szCs w:val="22"/>
      <w:lang w:val="en-US" w:eastAsia="zh-CN" w:bidi="ar-SA"/>
    </w:rPr>
  </w:style>
  <w:style w:type="character" w:customStyle="1" w:styleId="190">
    <w:name w:val="sq_标题5 Char"/>
    <w:basedOn w:val="179"/>
    <w:link w:val="191"/>
    <w:qFormat/>
    <w:uiPriority w:val="0"/>
    <w:rPr>
      <w:rFonts w:ascii="宋体" w:hAnsi="宋体" w:eastAsia="宋体" w:cs="Times New Roman"/>
      <w:kern w:val="0"/>
      <w:sz w:val="24"/>
      <w:szCs w:val="30"/>
      <w14:ligatures w14:val="none"/>
    </w:rPr>
  </w:style>
  <w:style w:type="paragraph" w:customStyle="1" w:styleId="191">
    <w:name w:val="sq_标题5"/>
    <w:basedOn w:val="180"/>
    <w:next w:val="1"/>
    <w:link w:val="190"/>
    <w:qFormat/>
    <w:uiPriority w:val="0"/>
    <w:pPr>
      <w:autoSpaceDE w:val="0"/>
      <w:ind w:hanging="200" w:hangingChars="200"/>
      <w:outlineLvl w:val="4"/>
    </w:pPr>
    <w:rPr>
      <w:rFonts w:ascii="宋体" w:hAnsi="宋体"/>
      <w:szCs w:val="24"/>
    </w:rPr>
  </w:style>
  <w:style w:type="character" w:customStyle="1" w:styleId="192">
    <w:name w:val="font41"/>
    <w:basedOn w:val="46"/>
    <w:qFormat/>
    <w:uiPriority w:val="0"/>
    <w:rPr>
      <w:rFonts w:hint="eastAsia" w:ascii="宋体" w:hAnsi="宋体" w:eastAsia="宋体" w:cs="宋体"/>
      <w:b/>
      <w:bCs/>
      <w:color w:val="000000"/>
      <w:sz w:val="24"/>
      <w:szCs w:val="24"/>
      <w:u w:val="none"/>
    </w:rPr>
  </w:style>
  <w:style w:type="paragraph" w:customStyle="1" w:styleId="193">
    <w:name w:val="样式 左侧: 1.25 厘米 段前: 4 磅 段后: 4 磅 行距: 最小值 10 磅"/>
    <w:basedOn w:val="1"/>
    <w:qFormat/>
    <w:uiPriority w:val="0"/>
    <w:pPr>
      <w:adjustRightInd w:val="0"/>
      <w:snapToGrid w:val="0"/>
      <w:spacing w:before="80" w:beforeLines="25" w:after="80" w:afterLines="25" w:line="240" w:lineRule="atLeast"/>
      <w:ind w:left="709"/>
    </w:pPr>
    <w:rPr>
      <w:rFonts w:ascii="Calibri" w:hAnsi="Calibri" w:cs="Times New Roman"/>
      <w:sz w:val="18"/>
      <w:szCs w:val="18"/>
      <w14:ligatures w14:val="none"/>
    </w:rPr>
  </w:style>
  <w:style w:type="character" w:customStyle="1" w:styleId="194">
    <w:name w:val="未处理的提及1"/>
    <w:basedOn w:val="46"/>
    <w:semiHidden/>
    <w:unhideWhenUsed/>
    <w:qFormat/>
    <w:uiPriority w:val="99"/>
    <w:rPr>
      <w:color w:val="605E5C"/>
      <w:shd w:val="clear" w:color="auto" w:fill="E1DFDD"/>
    </w:rPr>
  </w:style>
  <w:style w:type="character" w:customStyle="1" w:styleId="195">
    <w:name w:val="apple-converted-space"/>
    <w:qFormat/>
    <w:uiPriority w:val="0"/>
  </w:style>
  <w:style w:type="character" w:customStyle="1" w:styleId="196">
    <w:name w:val="HTML 预设格式 字符1"/>
    <w:basedOn w:val="46"/>
    <w:semiHidden/>
    <w:qFormat/>
    <w:uiPriority w:val="99"/>
    <w:rPr>
      <w:rFonts w:ascii="Courier New" w:hAnsi="Courier New" w:cs="Courier New"/>
      <w:sz w:val="20"/>
      <w:szCs w:val="20"/>
    </w:rPr>
  </w:style>
  <w:style w:type="paragraph" w:customStyle="1" w:styleId="197">
    <w:name w:val="列项——（一级）"/>
    <w:qFormat/>
    <w:uiPriority w:val="99"/>
    <w:pPr>
      <w:widowControl w:val="0"/>
      <w:tabs>
        <w:tab w:val="left" w:pos="720"/>
      </w:tabs>
      <w:spacing w:after="0" w:line="240" w:lineRule="auto"/>
      <w:ind w:left="720" w:hanging="720"/>
      <w:jc w:val="both"/>
    </w:pPr>
    <w:rPr>
      <w:rFonts w:ascii="宋体" w:hAnsi="Times New Roman" w:eastAsia="宋体" w:cs="Times New Roman"/>
      <w:sz w:val="21"/>
      <w:lang w:val="en-US" w:eastAsia="zh-CN" w:bidi="ar-SA"/>
    </w:rPr>
  </w:style>
  <w:style w:type="paragraph" w:customStyle="1" w:styleId="198">
    <w:name w:val="生产1 Char Char"/>
    <w:basedOn w:val="1"/>
    <w:qFormat/>
    <w:uiPriority w:val="99"/>
    <w:pPr>
      <w:widowControl/>
      <w:adjustRightInd w:val="0"/>
      <w:snapToGrid w:val="0"/>
      <w:spacing w:beforeLines="25" w:afterLines="25" w:line="360" w:lineRule="auto"/>
      <w:ind w:left="6912" w:hanging="4932"/>
      <w:jc w:val="left"/>
    </w:pPr>
    <w:rPr>
      <w:rFonts w:ascii="Times New Roman" w:hAnsi="Times New Roman" w:cs="Times New Roman"/>
      <w:kern w:val="0"/>
      <w:szCs w:val="24"/>
      <w14:ligatures w14:val="none"/>
    </w:rPr>
  </w:style>
  <w:style w:type="character" w:customStyle="1" w:styleId="199">
    <w:name w:val="列表段落 字符2"/>
    <w:qFormat/>
    <w:locked/>
    <w:uiPriority w:val="0"/>
  </w:style>
  <w:style w:type="character" w:customStyle="1" w:styleId="200">
    <w:name w:val="SoDA Field"/>
    <w:qFormat/>
    <w:uiPriority w:val="0"/>
    <w:rPr>
      <w:color w:val="0000FF"/>
      <w:sz w:val="20"/>
    </w:rPr>
  </w:style>
  <w:style w:type="paragraph" w:customStyle="1" w:styleId="201">
    <w:name w:val="段落内容"/>
    <w:basedOn w:val="1"/>
    <w:qFormat/>
    <w:uiPriority w:val="99"/>
    <w:pPr>
      <w:tabs>
        <w:tab w:val="left" w:pos="720"/>
      </w:tabs>
      <w:snapToGrid w:val="0"/>
      <w:spacing w:line="440" w:lineRule="atLeast"/>
      <w:ind w:left="720"/>
    </w:pPr>
    <w:rPr>
      <w:rFonts w:ascii="Times New Roman" w:hAnsi="Times New Roman" w:cs="Times New Roman"/>
      <w:sz w:val="28"/>
      <w:szCs w:val="20"/>
      <w14:ligatures w14:val="none"/>
    </w:rPr>
  </w:style>
  <w:style w:type="character" w:customStyle="1" w:styleId="202">
    <w:name w:val="正文 Char"/>
    <w:qFormat/>
    <w:uiPriority w:val="0"/>
    <w:rPr>
      <w:rFonts w:ascii="Arial" w:hAnsi="Arial" w:eastAsia="微软雅黑" w:cs="Times New Roman"/>
      <w:kern w:val="2"/>
      <w:sz w:val="21"/>
      <w:szCs w:val="24"/>
      <w:lang w:val="en-US" w:eastAsia="zh-CN" w:bidi="ar-SA"/>
    </w:rPr>
  </w:style>
  <w:style w:type="paragraph" w:customStyle="1" w:styleId="203">
    <w:name w:val="需求1"/>
    <w:basedOn w:val="1"/>
    <w:next w:val="1"/>
    <w:qFormat/>
    <w:uiPriority w:val="0"/>
    <w:pPr>
      <w:widowControl/>
      <w:adjustRightInd w:val="0"/>
      <w:snapToGrid w:val="0"/>
      <w:spacing w:beforeLines="25" w:afterLines="25" w:line="360" w:lineRule="auto"/>
      <w:ind w:left="540" w:leftChars="257"/>
      <w:jc w:val="left"/>
    </w:pPr>
    <w:rPr>
      <w:rFonts w:ascii="宋体" w:hAnsi="宋体" w:cs="Times New Roman"/>
      <w:b/>
      <w:kern w:val="0"/>
      <w:szCs w:val="24"/>
      <w14:ligatures w14:val="none"/>
    </w:rPr>
  </w:style>
  <w:style w:type="character" w:customStyle="1" w:styleId="204">
    <w:name w:val="样式 图案: 清除"/>
    <w:qFormat/>
    <w:uiPriority w:val="0"/>
    <w:rPr>
      <w:shd w:val="clear" w:color="auto" w:fill="auto"/>
    </w:rPr>
  </w:style>
  <w:style w:type="paragraph" w:customStyle="1" w:styleId="205">
    <w:name w:val="星点正文"/>
    <w:basedOn w:val="165"/>
    <w:qFormat/>
    <w:uiPriority w:val="99"/>
    <w:pPr>
      <w:tabs>
        <w:tab w:val="left" w:pos="720"/>
        <w:tab w:val="left" w:pos="1134"/>
      </w:tabs>
      <w:ind w:left="1133" w:leftChars="250" w:hanging="608" w:hangingChars="217"/>
    </w:pPr>
    <w:rPr>
      <w:rFonts w:eastAsia="宋体" w:cs="Times New Roman"/>
    </w:rPr>
  </w:style>
  <w:style w:type="paragraph" w:customStyle="1" w:styleId="206">
    <w:name w:val="_正文段落"/>
    <w:basedOn w:val="23"/>
    <w:link w:val="207"/>
    <w:qFormat/>
    <w:uiPriority w:val="0"/>
    <w:pPr>
      <w:spacing w:beforeLines="15" w:afterLines="30" w:line="360" w:lineRule="auto"/>
      <w:ind w:firstLine="200" w:firstLineChars="200"/>
    </w:pPr>
    <w:rPr>
      <w:rFonts w:cs="Times New Roman"/>
      <w:sz w:val="24"/>
      <w:szCs w:val="24"/>
    </w:rPr>
  </w:style>
  <w:style w:type="character" w:customStyle="1" w:styleId="207">
    <w:name w:val="_正文段落 Char"/>
    <w:link w:val="206"/>
    <w:qFormat/>
    <w:locked/>
    <w:uiPriority w:val="0"/>
    <w:rPr>
      <w:rFonts w:ascii="宋体" w:hAnsi="Courier New" w:eastAsia="宋体" w:cs="Times New Roman"/>
      <w:sz w:val="24"/>
      <w14:ligatures w14:val="none"/>
    </w:rPr>
  </w:style>
  <w:style w:type="paragraph" w:customStyle="1" w:styleId="208">
    <w:name w:val="_Style 2"/>
    <w:basedOn w:val="1"/>
    <w:qFormat/>
    <w:uiPriority w:val="99"/>
    <w:pPr>
      <w:spacing w:line="360" w:lineRule="auto"/>
      <w:ind w:firstLine="420" w:firstLineChars="200"/>
    </w:pPr>
    <w:rPr>
      <w:rFonts w:ascii="Times New Roman" w:hAnsi="Times New Roman" w:cs="Times New Roman"/>
      <w:sz w:val="21"/>
      <w:szCs w:val="24"/>
      <w14:ligatures w14:val="none"/>
    </w:rPr>
  </w:style>
  <w:style w:type="paragraph" w:customStyle="1" w:styleId="209">
    <w:name w:val="TOC 标题1"/>
    <w:basedOn w:val="2"/>
    <w:next w:val="1"/>
    <w:unhideWhenUsed/>
    <w:qFormat/>
    <w:uiPriority w:val="39"/>
    <w:pPr>
      <w:widowControl/>
      <w:tabs>
        <w:tab w:val="left" w:pos="397"/>
      </w:tabs>
      <w:spacing w:before="240" w:after="0" w:line="259" w:lineRule="auto"/>
      <w:jc w:val="left"/>
      <w:outlineLvl w:val="9"/>
    </w:pPr>
    <w:rPr>
      <w:rFonts w:eastAsiaTheme="majorEastAsia"/>
      <w:color w:val="2F5597" w:themeColor="accent1" w:themeShade="BF"/>
      <w:kern w:val="0"/>
      <w:sz w:val="32"/>
      <w:szCs w:val="32"/>
      <w14:ligatures w14:val="none"/>
    </w:rPr>
  </w:style>
  <w:style w:type="paragraph" w:customStyle="1" w:styleId="210">
    <w:name w:val="表格內文字"/>
    <w:qFormat/>
    <w:uiPriority w:val="99"/>
    <w:pPr>
      <w:widowControl w:val="0"/>
      <w:adjustRightInd w:val="0"/>
      <w:spacing w:after="0" w:line="240" w:lineRule="atLeast"/>
      <w:jc w:val="center"/>
    </w:pPr>
    <w:rPr>
      <w:rFonts w:ascii="Book Antiqua" w:hAnsi="Book Antiqua" w:eastAsia="華康中楷體" w:cs="Times New Roman"/>
      <w:sz w:val="24"/>
      <w:lang w:val="en-US" w:eastAsia="zh-TW" w:bidi="ar-SA"/>
    </w:rPr>
  </w:style>
  <w:style w:type="paragraph" w:customStyle="1" w:styleId="211">
    <w:name w:val="_Style 108"/>
    <w:basedOn w:val="1"/>
    <w:next w:val="1"/>
    <w:link w:val="212"/>
    <w:qFormat/>
    <w:uiPriority w:val="0"/>
    <w:pPr>
      <w:widowControl/>
      <w:ind w:left="1680"/>
      <w:jc w:val="left"/>
    </w:pPr>
    <w:rPr>
      <w:rFonts w:ascii="Times New Roman" w:hAnsi="Times New Roman" w:cs="Times New Roman"/>
      <w:kern w:val="0"/>
      <w:szCs w:val="24"/>
      <w14:ligatures w14:val="none"/>
    </w:rPr>
  </w:style>
  <w:style w:type="character" w:customStyle="1" w:styleId="212">
    <w:name w:val="正文首行缩进 字符"/>
    <w:basedOn w:val="65"/>
    <w:link w:val="211"/>
    <w:qFormat/>
    <w:uiPriority w:val="0"/>
    <w:rPr>
      <w:rFonts w:ascii="Times New Roman" w:hAnsi="Times New Roman" w:eastAsia="宋体" w:cs="Times New Roman"/>
      <w:kern w:val="0"/>
      <w:sz w:val="24"/>
      <w14:ligatures w14:val="none"/>
    </w:rPr>
  </w:style>
  <w:style w:type="character" w:customStyle="1" w:styleId="213">
    <w:name w:val="图注 Char"/>
    <w:link w:val="214"/>
    <w:qFormat/>
    <w:locked/>
    <w:uiPriority w:val="0"/>
    <w:rPr>
      <w:rFonts w:ascii="黑体" w:hAnsi="黑体" w:eastAsia="黑体"/>
    </w:rPr>
  </w:style>
  <w:style w:type="paragraph" w:customStyle="1" w:styleId="214">
    <w:name w:val="图注"/>
    <w:basedOn w:val="1"/>
    <w:next w:val="1"/>
    <w:link w:val="213"/>
    <w:qFormat/>
    <w:uiPriority w:val="0"/>
    <w:pPr>
      <w:autoSpaceDE w:val="0"/>
      <w:autoSpaceDN w:val="0"/>
      <w:adjustRightInd w:val="0"/>
      <w:jc w:val="center"/>
    </w:pPr>
    <w:rPr>
      <w:rFonts w:ascii="黑体" w:hAnsi="黑体" w:eastAsia="黑体"/>
      <w:sz w:val="22"/>
      <w:szCs w:val="24"/>
    </w:rPr>
  </w:style>
  <w:style w:type="character" w:customStyle="1" w:styleId="215">
    <w:name w:val="需求1 Char Char Char"/>
    <w:qFormat/>
    <w:uiPriority w:val="0"/>
    <w:rPr>
      <w:rFonts w:ascii="宋体" w:hAnsi="宋体" w:eastAsia="宋体"/>
      <w:kern w:val="2"/>
      <w:sz w:val="24"/>
      <w:szCs w:val="24"/>
      <w:lang w:val="en-US" w:eastAsia="zh-CN" w:bidi="ar-SA"/>
    </w:rPr>
  </w:style>
  <w:style w:type="character" w:customStyle="1" w:styleId="216">
    <w:name w:val="标题 21"/>
    <w:qFormat/>
    <w:uiPriority w:val="0"/>
    <w:rPr>
      <w:rFonts w:ascii="Arial" w:hAnsi="Arial" w:eastAsia="黑体"/>
      <w:b/>
      <w:bCs/>
      <w:kern w:val="2"/>
      <w:sz w:val="32"/>
      <w:szCs w:val="32"/>
      <w:lang w:val="en-US" w:eastAsia="zh-CN" w:bidi="ar-SA"/>
    </w:rPr>
  </w:style>
  <w:style w:type="character" w:customStyle="1" w:styleId="217">
    <w:name w:val="未处理的提及3"/>
    <w:basedOn w:val="46"/>
    <w:semiHidden/>
    <w:unhideWhenUsed/>
    <w:qFormat/>
    <w:uiPriority w:val="99"/>
    <w:rPr>
      <w:color w:val="605E5C"/>
      <w:shd w:val="clear" w:color="auto" w:fill="E1DFDD"/>
    </w:rPr>
  </w:style>
  <w:style w:type="paragraph" w:customStyle="1" w:styleId="218">
    <w:name w:val="列出段落11"/>
    <w:basedOn w:val="1"/>
    <w:qFormat/>
    <w:uiPriority w:val="99"/>
    <w:pPr>
      <w:ind w:firstLine="420"/>
    </w:pPr>
    <w:rPr>
      <w:rFonts w:ascii="Times New Roman" w:hAnsi="Times New Roman" w:cs="Times New Roman"/>
      <w:color w:val="000000"/>
      <w:sz w:val="21"/>
      <w:szCs w:val="24"/>
      <w14:ligatures w14:val="none"/>
    </w:rPr>
  </w:style>
  <w:style w:type="character" w:customStyle="1" w:styleId="219">
    <w:name w:val="font11"/>
    <w:basedOn w:val="46"/>
    <w:qFormat/>
    <w:uiPriority w:val="0"/>
    <w:rPr>
      <w:rFonts w:hint="default" w:ascii="苹方-简 常规体" w:hAnsi="苹方-简 常规体" w:eastAsia="苹方-简 常规体" w:cs="苹方-简 常规体"/>
      <w:color w:val="000000"/>
      <w:sz w:val="28"/>
      <w:szCs w:val="28"/>
      <w:u w:val="none"/>
    </w:rPr>
  </w:style>
  <w:style w:type="character" w:customStyle="1" w:styleId="220">
    <w:name w:val="不明显强调1"/>
    <w:qFormat/>
    <w:uiPriority w:val="19"/>
    <w:rPr>
      <w:i/>
      <w:color w:val="5A5A5A"/>
    </w:rPr>
  </w:style>
  <w:style w:type="paragraph" w:customStyle="1" w:styleId="221">
    <w:name w:val="2级"/>
    <w:basedOn w:val="4"/>
    <w:next w:val="1"/>
    <w:qFormat/>
    <w:uiPriority w:val="99"/>
    <w:pPr>
      <w:framePr w:wrap="around" w:vAnchor="margin" w:hAnchor="text" w:y="1"/>
      <w:numPr>
        <w:ilvl w:val="1"/>
        <w:numId w:val="3"/>
      </w:numPr>
      <w:tabs>
        <w:tab w:val="left" w:pos="680"/>
      </w:tabs>
      <w:spacing w:before="260" w:after="260" w:line="415" w:lineRule="auto"/>
      <w:ind w:left="0" w:firstLine="0"/>
    </w:pPr>
    <w:rPr>
      <w:rFonts w:ascii="Calibri" w:hAnsi="Calibri" w:eastAsia="宋体" w:cs="Times New Roman"/>
      <w:b/>
      <w:bCs/>
      <w:color w:val="000000"/>
      <w14:ligatures w14:val="none"/>
    </w:rPr>
  </w:style>
  <w:style w:type="paragraph" w:styleId="222">
    <w:name w:val="No Spacing"/>
    <w:basedOn w:val="1"/>
    <w:link w:val="223"/>
    <w:qFormat/>
    <w:uiPriority w:val="1"/>
    <w:pPr>
      <w:widowControl/>
      <w:adjustRightInd w:val="0"/>
      <w:snapToGrid w:val="0"/>
      <w:spacing w:beforeLines="25" w:afterLines="25" w:line="360" w:lineRule="auto"/>
      <w:jc w:val="left"/>
    </w:pPr>
    <w:rPr>
      <w:rFonts w:cs="Times New Roman"/>
      <w:kern w:val="0"/>
      <w:szCs w:val="32"/>
      <w14:ligatures w14:val="none"/>
    </w:rPr>
  </w:style>
  <w:style w:type="character" w:customStyle="1" w:styleId="223">
    <w:name w:val="无间隔 字符"/>
    <w:link w:val="222"/>
    <w:qFormat/>
    <w:uiPriority w:val="1"/>
    <w:rPr>
      <w:rFonts w:eastAsia="宋体" w:cs="Times New Roman"/>
      <w:kern w:val="0"/>
      <w:sz w:val="24"/>
      <w:szCs w:val="32"/>
      <w14:ligatures w14:val="none"/>
    </w:rPr>
  </w:style>
  <w:style w:type="character" w:customStyle="1" w:styleId="224">
    <w:name w:val="未处理的提及5"/>
    <w:basedOn w:val="46"/>
    <w:semiHidden/>
    <w:unhideWhenUsed/>
    <w:qFormat/>
    <w:uiPriority w:val="99"/>
    <w:rPr>
      <w:color w:val="605E5C"/>
      <w:shd w:val="clear" w:color="auto" w:fill="E1DFDD"/>
    </w:rPr>
  </w:style>
  <w:style w:type="paragraph" w:customStyle="1" w:styleId="225">
    <w:name w:val="需求1 Char Char"/>
    <w:basedOn w:val="1"/>
    <w:next w:val="1"/>
    <w:qFormat/>
    <w:uiPriority w:val="0"/>
    <w:pPr>
      <w:widowControl/>
      <w:tabs>
        <w:tab w:val="left" w:pos="1500"/>
      </w:tabs>
      <w:adjustRightInd w:val="0"/>
      <w:snapToGrid w:val="0"/>
      <w:spacing w:before="81" w:beforeLines="25" w:after="81" w:afterLines="25" w:line="360" w:lineRule="auto"/>
      <w:ind w:firstLine="480" w:firstLineChars="200"/>
      <w:jc w:val="left"/>
    </w:pPr>
    <w:rPr>
      <w:rFonts w:ascii="仿宋" w:hAnsi="仿宋" w:eastAsia="仿宋" w:cs="Times New Roman"/>
      <w:kern w:val="0"/>
      <w:sz w:val="28"/>
      <w:szCs w:val="28"/>
      <w14:ligatures w14:val="none"/>
    </w:rPr>
  </w:style>
  <w:style w:type="paragraph" w:customStyle="1" w:styleId="226">
    <w:name w:val="正文3"/>
    <w:basedOn w:val="1"/>
    <w:qFormat/>
    <w:uiPriority w:val="99"/>
    <w:pPr>
      <w:adjustRightInd w:val="0"/>
      <w:snapToGrid w:val="0"/>
      <w:spacing w:line="360" w:lineRule="auto"/>
      <w:ind w:firstLine="454" w:firstLineChars="189"/>
    </w:pPr>
    <w:rPr>
      <w:rFonts w:ascii="宋体" w:hAnsi="宋体" w:cs="Times New Roman"/>
      <w:szCs w:val="24"/>
      <w14:ligatures w14:val="none"/>
    </w:rPr>
  </w:style>
  <w:style w:type="paragraph" w:customStyle="1" w:styleId="227">
    <w:name w:val="列出段落1"/>
    <w:basedOn w:val="1"/>
    <w:link w:val="228"/>
    <w:qFormat/>
    <w:uiPriority w:val="0"/>
    <w:pPr>
      <w:widowControl/>
      <w:adjustRightInd w:val="0"/>
      <w:snapToGrid w:val="0"/>
      <w:spacing w:beforeLines="25" w:afterLines="25" w:line="360" w:lineRule="auto"/>
      <w:ind w:firstLine="420" w:firstLineChars="200"/>
      <w:jc w:val="left"/>
    </w:pPr>
    <w:rPr>
      <w:rFonts w:ascii="Calibri" w:hAnsi="Calibri" w:cs="Times New Roman"/>
      <w:kern w:val="0"/>
      <w14:ligatures w14:val="none"/>
    </w:rPr>
  </w:style>
  <w:style w:type="character" w:customStyle="1" w:styleId="228">
    <w:name w:val="列出段落 Char"/>
    <w:link w:val="227"/>
    <w:qFormat/>
    <w:locked/>
    <w:uiPriority w:val="0"/>
    <w:rPr>
      <w:rFonts w:ascii="Calibri" w:hAnsi="Calibri" w:eastAsia="宋体" w:cs="Times New Roman"/>
      <w:kern w:val="0"/>
      <w:sz w:val="24"/>
      <w:szCs w:val="22"/>
      <w14:ligatures w14:val="none"/>
    </w:rPr>
  </w:style>
  <w:style w:type="character" w:customStyle="1" w:styleId="229">
    <w:name w:val="font171"/>
    <w:basedOn w:val="46"/>
    <w:qFormat/>
    <w:uiPriority w:val="0"/>
    <w:rPr>
      <w:rFonts w:ascii="Wingdings" w:hAnsi="Wingdings" w:cs="Wingdings"/>
      <w:color w:val="000000"/>
      <w:sz w:val="22"/>
      <w:szCs w:val="22"/>
      <w:u w:val="none"/>
    </w:rPr>
  </w:style>
  <w:style w:type="character" w:customStyle="1" w:styleId="230">
    <w:name w:val="apple-style-span"/>
    <w:basedOn w:val="46"/>
    <w:qFormat/>
    <w:uiPriority w:val="0"/>
  </w:style>
  <w:style w:type="character" w:customStyle="1" w:styleId="231">
    <w:name w:val="段 Char"/>
    <w:link w:val="232"/>
    <w:qFormat/>
    <w:locked/>
    <w:uiPriority w:val="0"/>
    <w:rPr>
      <w:rFonts w:ascii="宋体" w:hAnsi="宋体" w:eastAsia="宋体" w:cs="黑体"/>
    </w:rPr>
  </w:style>
  <w:style w:type="paragraph" w:customStyle="1" w:styleId="232">
    <w:name w:val="段"/>
    <w:link w:val="231"/>
    <w:qFormat/>
    <w:uiPriority w:val="0"/>
    <w:pPr>
      <w:tabs>
        <w:tab w:val="center" w:pos="4201"/>
        <w:tab w:val="right" w:leader="dot" w:pos="9298"/>
      </w:tabs>
      <w:autoSpaceDE w:val="0"/>
      <w:autoSpaceDN w:val="0"/>
      <w:spacing w:after="0" w:line="240" w:lineRule="auto"/>
      <w:ind w:firstLine="420" w:firstLineChars="200"/>
      <w:jc w:val="both"/>
    </w:pPr>
    <w:rPr>
      <w:rFonts w:ascii="宋体" w:hAnsi="宋体" w:eastAsia="宋体" w:cs="黑体"/>
      <w:kern w:val="2"/>
      <w:sz w:val="22"/>
      <w:szCs w:val="24"/>
      <w:lang w:val="en-US" w:eastAsia="zh-CN" w:bidi="ar-SA"/>
      <w14:ligatures w14:val="standardContextual"/>
    </w:rPr>
  </w:style>
  <w:style w:type="table" w:customStyle="1" w:styleId="233">
    <w:name w:val="网格型2"/>
    <w:basedOn w:val="4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4">
    <w:name w:val="G正文_小四"/>
    <w:basedOn w:val="1"/>
    <w:qFormat/>
    <w:uiPriority w:val="99"/>
    <w:pPr>
      <w:widowControl/>
      <w:tabs>
        <w:tab w:val="left" w:pos="240"/>
      </w:tabs>
      <w:adjustRightInd w:val="0"/>
      <w:snapToGrid w:val="0"/>
      <w:spacing w:after="200" w:line="360" w:lineRule="auto"/>
      <w:ind w:firstLine="425"/>
      <w:jc w:val="left"/>
    </w:pPr>
    <w:rPr>
      <w:rFonts w:ascii="宋体" w:hAnsi="宋体" w:cs="宋体"/>
      <w:kern w:val="0"/>
      <w:szCs w:val="24"/>
      <w:lang w:eastAsia="en-US" w:bidi="en-US"/>
      <w14:ligatures w14:val="none"/>
    </w:rPr>
  </w:style>
  <w:style w:type="character" w:customStyle="1" w:styleId="235">
    <w:name w:val="未处理的提及111"/>
    <w:basedOn w:val="46"/>
    <w:semiHidden/>
    <w:unhideWhenUsed/>
    <w:qFormat/>
    <w:uiPriority w:val="99"/>
    <w:rPr>
      <w:color w:val="605E5C"/>
      <w:shd w:val="clear" w:color="auto" w:fill="E1DFDD"/>
    </w:rPr>
  </w:style>
  <w:style w:type="paragraph" w:customStyle="1" w:styleId="236">
    <w:name w:val="TOC 标题111"/>
    <w:basedOn w:val="2"/>
    <w:next w:val="1"/>
    <w:unhideWhenUsed/>
    <w:qFormat/>
    <w:uiPriority w:val="39"/>
    <w:pPr>
      <w:widowControl/>
      <w:numPr>
        <w:numId w:val="0"/>
      </w:numPr>
      <w:spacing w:before="240" w:after="0" w:line="259" w:lineRule="auto"/>
      <w:jc w:val="left"/>
      <w:outlineLvl w:val="9"/>
    </w:pPr>
    <w:rPr>
      <w:rFonts w:eastAsiaTheme="majorEastAsia"/>
      <w:color w:val="2F5597" w:themeColor="accent1" w:themeShade="BF"/>
      <w:kern w:val="0"/>
      <w:sz w:val="32"/>
      <w:szCs w:val="32"/>
      <w14:ligatures w14:val="none"/>
    </w:rPr>
  </w:style>
  <w:style w:type="character" w:customStyle="1" w:styleId="237">
    <w:name w:val="样式 正文缩进 + 首行缩进:  2 字符 Char"/>
    <w:link w:val="238"/>
    <w:qFormat/>
    <w:locked/>
    <w:uiPriority w:val="0"/>
    <w:rPr>
      <w:rFonts w:ascii="Times New Roman" w:hAnsi="Times New Roman"/>
      <w:sz w:val="24"/>
      <w:szCs w:val="20"/>
    </w:rPr>
  </w:style>
  <w:style w:type="paragraph" w:customStyle="1" w:styleId="238">
    <w:name w:val="样式 正文缩进 + 首行缩进:  2 字符"/>
    <w:basedOn w:val="14"/>
    <w:link w:val="237"/>
    <w:qFormat/>
    <w:uiPriority w:val="0"/>
    <w:pPr>
      <w:adjustRightInd/>
      <w:snapToGrid/>
      <w:spacing w:before="0" w:beforeLines="0" w:after="80" w:afterLines="0"/>
      <w:ind w:firstLine="480" w:firstLineChars="200"/>
    </w:pPr>
    <w:rPr>
      <w:rFonts w:eastAsiaTheme="minorEastAsia"/>
      <w:szCs w:val="20"/>
      <w14:ligatures w14:val="standardContextual"/>
    </w:rPr>
  </w:style>
  <w:style w:type="paragraph" w:customStyle="1" w:styleId="239">
    <w:name w:val="_Style 8"/>
    <w:basedOn w:val="1"/>
    <w:qFormat/>
    <w:uiPriority w:val="34"/>
    <w:pPr>
      <w:widowControl/>
      <w:adjustRightInd w:val="0"/>
      <w:snapToGrid w:val="0"/>
      <w:spacing w:beforeLines="25" w:afterLines="25" w:line="360" w:lineRule="auto"/>
      <w:ind w:firstLine="420" w:firstLineChars="200"/>
      <w:jc w:val="left"/>
    </w:pPr>
    <w:rPr>
      <w:rFonts w:ascii="Times New Roman" w:hAnsi="Times New Roman" w:cs="Times New Roman"/>
      <w:kern w:val="0"/>
      <w:szCs w:val="24"/>
      <w14:ligatures w14:val="none"/>
    </w:rPr>
  </w:style>
  <w:style w:type="character" w:customStyle="1" w:styleId="240">
    <w:name w:val="未处理的提及11"/>
    <w:basedOn w:val="46"/>
    <w:semiHidden/>
    <w:unhideWhenUsed/>
    <w:qFormat/>
    <w:uiPriority w:val="99"/>
    <w:rPr>
      <w:color w:val="605E5C"/>
      <w:shd w:val="clear" w:color="auto" w:fill="E1DFDD"/>
    </w:rPr>
  </w:style>
  <w:style w:type="character" w:customStyle="1" w:styleId="241">
    <w:name w:val="水上软件 Char"/>
    <w:qFormat/>
    <w:uiPriority w:val="0"/>
    <w:rPr>
      <w:rFonts w:hint="eastAsia" w:ascii="楷体_GB2312" w:hAnsi="Times New Roman" w:eastAsia="楷体_GB2312"/>
      <w:sz w:val="28"/>
    </w:rPr>
  </w:style>
  <w:style w:type="paragraph" w:customStyle="1" w:styleId="242">
    <w:name w:val="G_标题6"/>
    <w:basedOn w:val="1"/>
    <w:next w:val="1"/>
    <w:qFormat/>
    <w:uiPriority w:val="99"/>
    <w:pPr>
      <w:tabs>
        <w:tab w:val="left" w:pos="720"/>
      </w:tabs>
      <w:spacing w:before="312" w:after="312" w:line="374" w:lineRule="auto"/>
      <w:ind w:left="720"/>
    </w:pPr>
    <w:rPr>
      <w:rFonts w:ascii="Calibri" w:hAnsi="Calibri" w:cs="Times New Roman"/>
      <w:b/>
      <w14:ligatures w14:val="none"/>
    </w:rPr>
  </w:style>
  <w:style w:type="paragraph" w:customStyle="1" w:styleId="243">
    <w:name w:val="列出段落5"/>
    <w:basedOn w:val="1"/>
    <w:qFormat/>
    <w:uiPriority w:val="99"/>
    <w:pPr>
      <w:spacing w:line="360" w:lineRule="auto"/>
      <w:ind w:firstLine="420" w:firstLineChars="200"/>
    </w:pPr>
    <w:rPr>
      <w:rFonts w:ascii="Times New Roman" w:hAnsi="Times New Roman" w:cs="Times New Roman"/>
      <w:sz w:val="21"/>
      <w:szCs w:val="24"/>
      <w14:ligatures w14:val="none"/>
    </w:rPr>
  </w:style>
  <w:style w:type="paragraph" w:customStyle="1" w:styleId="244">
    <w:name w:val="paragraph"/>
    <w:basedOn w:val="1"/>
    <w:hidden/>
    <w:qFormat/>
    <w:uiPriority w:val="0"/>
    <w:pPr>
      <w:widowControl/>
      <w:adjustRightInd w:val="0"/>
      <w:snapToGrid w:val="0"/>
      <w:spacing w:beforeLines="25" w:beforeAutospacing="1" w:afterLines="25" w:afterAutospacing="1" w:line="360" w:lineRule="auto"/>
      <w:jc w:val="left"/>
    </w:pPr>
    <w:rPr>
      <w:rFonts w:hint="eastAsia" w:ascii="等线" w:hAnsi="等线" w:eastAsia="等线" w:cs="Times New Roman"/>
      <w:kern w:val="0"/>
      <w:szCs w:val="24"/>
      <w14:ligatures w14:val="none"/>
    </w:rPr>
  </w:style>
  <w:style w:type="character" w:customStyle="1" w:styleId="245">
    <w:name w:val="书籍标题11"/>
    <w:qFormat/>
    <w:uiPriority w:val="33"/>
    <w:rPr>
      <w:rFonts w:ascii="Cambria" w:hAnsi="Cambria" w:eastAsia="宋体"/>
      <w:b/>
      <w:i/>
      <w:sz w:val="24"/>
      <w:szCs w:val="24"/>
    </w:rPr>
  </w:style>
  <w:style w:type="paragraph" w:customStyle="1" w:styleId="246">
    <w:name w:val="需求2"/>
    <w:basedOn w:val="203"/>
    <w:qFormat/>
    <w:uiPriority w:val="0"/>
    <w:pPr>
      <w:ind w:left="2155" w:leftChars="0" w:hanging="2155"/>
    </w:pPr>
    <w:rPr>
      <w:b w:val="0"/>
      <w:iCs/>
      <w:sz w:val="21"/>
      <w:szCs w:val="21"/>
    </w:rPr>
  </w:style>
  <w:style w:type="character" w:customStyle="1" w:styleId="247">
    <w:name w:val="不明显强调11"/>
    <w:qFormat/>
    <w:uiPriority w:val="19"/>
    <w:rPr>
      <w:i/>
      <w:color w:val="5A5A5A"/>
    </w:rPr>
  </w:style>
  <w:style w:type="character" w:customStyle="1" w:styleId="248">
    <w:name w:val="正文缩进 字符1"/>
    <w:qFormat/>
    <w:uiPriority w:val="0"/>
    <w:rPr>
      <w:rFonts w:hint="eastAsia" w:ascii="楷体_GB2312" w:hAnsi="Times New Roman" w:eastAsia="楷体_GB2312"/>
      <w:sz w:val="28"/>
    </w:rPr>
  </w:style>
  <w:style w:type="character" w:customStyle="1" w:styleId="249">
    <w:name w:val="font101"/>
    <w:basedOn w:val="46"/>
    <w:qFormat/>
    <w:uiPriority w:val="0"/>
    <w:rPr>
      <w:rFonts w:hint="eastAsia" w:ascii="宋体" w:hAnsi="宋体" w:eastAsia="宋体" w:cs="宋体"/>
      <w:color w:val="000000"/>
      <w:sz w:val="24"/>
      <w:szCs w:val="24"/>
      <w:u w:val="none"/>
    </w:rPr>
  </w:style>
  <w:style w:type="paragraph" w:customStyle="1" w:styleId="250">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99"/>
    <w:pPr>
      <w:widowControl w:val="0"/>
      <w:spacing w:after="0"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251">
    <w:name w:val="font01"/>
    <w:basedOn w:val="46"/>
    <w:qFormat/>
    <w:uiPriority w:val="0"/>
    <w:rPr>
      <w:rFonts w:hint="default" w:ascii="苹方-简 常规体" w:hAnsi="苹方-简 常规体" w:eastAsia="苹方-简 常规体" w:cs="苹方-简 常规体"/>
      <w:color w:val="000000"/>
      <w:sz w:val="28"/>
      <w:szCs w:val="28"/>
      <w:u w:val="none"/>
    </w:rPr>
  </w:style>
  <w:style w:type="character" w:customStyle="1" w:styleId="252">
    <w:name w:val="列表段落 字符1"/>
    <w:qFormat/>
    <w:locked/>
    <w:uiPriority w:val="0"/>
  </w:style>
  <w:style w:type="character" w:customStyle="1" w:styleId="253">
    <w:name w:val="font51"/>
    <w:basedOn w:val="46"/>
    <w:qFormat/>
    <w:uiPriority w:val="0"/>
    <w:rPr>
      <w:rFonts w:hint="eastAsia" w:ascii="宋体" w:hAnsi="宋体" w:eastAsia="宋体" w:cs="宋体"/>
      <w:color w:val="000000"/>
      <w:sz w:val="22"/>
      <w:szCs w:val="22"/>
      <w:u w:val="none"/>
    </w:rPr>
  </w:style>
  <w:style w:type="paragraph" w:customStyle="1" w:styleId="254">
    <w:name w:val="Tabletext"/>
    <w:basedOn w:val="1"/>
    <w:qFormat/>
    <w:uiPriority w:val="0"/>
    <w:pPr>
      <w:keepLines/>
      <w:widowControl/>
      <w:adjustRightInd w:val="0"/>
      <w:snapToGrid w:val="0"/>
      <w:spacing w:beforeLines="25" w:after="120" w:afterLines="25" w:line="240" w:lineRule="atLeast"/>
      <w:jc w:val="left"/>
    </w:pPr>
    <w:rPr>
      <w:rFonts w:ascii="宋体" w:hAnsi="Times New Roman" w:cs="Times New Roman"/>
      <w:snapToGrid w:val="0"/>
      <w:kern w:val="0"/>
      <w:sz w:val="20"/>
      <w:szCs w:val="20"/>
      <w14:ligatures w14:val="none"/>
    </w:rPr>
  </w:style>
  <w:style w:type="paragraph" w:customStyle="1" w:styleId="255">
    <w:name w:val="最新标题1"/>
    <w:basedOn w:val="1"/>
    <w:next w:val="132"/>
    <w:qFormat/>
    <w:uiPriority w:val="99"/>
    <w:pPr>
      <w:keepNext/>
      <w:snapToGrid w:val="0"/>
      <w:spacing w:before="120" w:line="360" w:lineRule="auto"/>
      <w:ind w:left="420"/>
      <w:jc w:val="left"/>
      <w:outlineLvl w:val="0"/>
    </w:pPr>
    <w:rPr>
      <w:rFonts w:ascii="宋体" w:hAnsi="宋体" w:cs="宋体"/>
      <w:b/>
      <w:bCs/>
      <w:kern w:val="0"/>
      <w:sz w:val="32"/>
      <w:szCs w:val="20"/>
      <w14:ligatures w14:val="none"/>
    </w:rPr>
  </w:style>
  <w:style w:type="paragraph" w:customStyle="1" w:styleId="256">
    <w:name w:val="修订12"/>
    <w:semiHidden/>
    <w:qFormat/>
    <w:uiPriority w:val="99"/>
    <w:pPr>
      <w:spacing w:after="0" w:line="240" w:lineRule="auto"/>
    </w:pPr>
    <w:rPr>
      <w:rFonts w:cs="Times New Roman" w:asciiTheme="minorHAnsi" w:hAnsiTheme="minorHAnsi" w:eastAsiaTheme="minorEastAsia"/>
      <w:kern w:val="2"/>
      <w:sz w:val="21"/>
      <w:szCs w:val="24"/>
      <w:lang w:val="en-US" w:eastAsia="zh-CN" w:bidi="ar-SA"/>
    </w:rPr>
  </w:style>
  <w:style w:type="character" w:customStyle="1" w:styleId="257">
    <w:name w:val="font131"/>
    <w:basedOn w:val="46"/>
    <w:qFormat/>
    <w:uiPriority w:val="0"/>
    <w:rPr>
      <w:rFonts w:hint="eastAsia" w:ascii="宋体" w:hAnsi="宋体" w:eastAsia="宋体" w:cs="宋体"/>
      <w:color w:val="000000"/>
      <w:sz w:val="24"/>
      <w:szCs w:val="24"/>
      <w:u w:val="none"/>
    </w:rPr>
  </w:style>
  <w:style w:type="paragraph" w:customStyle="1" w:styleId="258">
    <w:name w:val="可研正文"/>
    <w:basedOn w:val="1"/>
    <w:qFormat/>
    <w:uiPriority w:val="99"/>
    <w:pPr>
      <w:spacing w:line="360" w:lineRule="auto"/>
      <w:ind w:firstLine="200" w:firstLineChars="200"/>
    </w:pPr>
    <w:rPr>
      <w:rFonts w:ascii="仿宋" w:hAnsi="仿宋" w:eastAsia="仿宋" w:cs="Times New Roman"/>
      <w:sz w:val="28"/>
      <w:szCs w:val="28"/>
      <w14:ligatures w14:val="none"/>
    </w:rPr>
  </w:style>
  <w:style w:type="character" w:customStyle="1" w:styleId="259">
    <w:name w:val="页脚 Char"/>
    <w:qFormat/>
    <w:uiPriority w:val="99"/>
    <w:rPr>
      <w:kern w:val="2"/>
      <w:sz w:val="18"/>
      <w:szCs w:val="18"/>
    </w:rPr>
  </w:style>
  <w:style w:type="paragraph" w:customStyle="1" w:styleId="260">
    <w:name w:val="1级"/>
    <w:basedOn w:val="3"/>
    <w:next w:val="1"/>
    <w:qFormat/>
    <w:uiPriority w:val="99"/>
    <w:pPr>
      <w:numPr>
        <w:ilvl w:val="0"/>
        <w:numId w:val="0"/>
      </w:numPr>
      <w:tabs>
        <w:tab w:val="left" w:pos="567"/>
      </w:tabs>
      <w:spacing w:before="260" w:after="260" w:line="415" w:lineRule="auto"/>
      <w:ind w:left="425" w:hanging="425"/>
    </w:pPr>
    <w:rPr>
      <w:rFonts w:ascii="Calibri Light" w:hAnsi="Calibri Light" w:eastAsia="宋体" w:cs="Times New Roman"/>
      <w:b/>
      <w:bCs/>
      <w:color w:val="000000"/>
      <w:sz w:val="32"/>
      <w:szCs w:val="32"/>
      <w14:ligatures w14:val="none"/>
    </w:rPr>
  </w:style>
  <w:style w:type="paragraph" w:customStyle="1" w:styleId="261">
    <w:name w:val="Default"/>
    <w:qFormat/>
    <w:uiPriority w:val="99"/>
    <w:pPr>
      <w:widowControl w:val="0"/>
      <w:autoSpaceDE w:val="0"/>
      <w:autoSpaceDN w:val="0"/>
      <w:adjustRightInd w:val="0"/>
      <w:spacing w:after="0" w:line="240" w:lineRule="auto"/>
    </w:pPr>
    <w:rPr>
      <w:rFonts w:ascii="宋体" w:hAnsi="Times New Roman" w:eastAsia="宋体" w:cs="宋体"/>
      <w:color w:val="000000"/>
      <w:sz w:val="24"/>
      <w:szCs w:val="24"/>
      <w:lang w:val="en-US" w:eastAsia="zh-CN" w:bidi="ar-SA"/>
    </w:rPr>
  </w:style>
  <w:style w:type="character" w:customStyle="1" w:styleId="262">
    <w:name w:val="明显参考12"/>
    <w:qFormat/>
    <w:uiPriority w:val="32"/>
    <w:rPr>
      <w:b/>
      <w:sz w:val="24"/>
      <w:u w:val="single"/>
    </w:rPr>
  </w:style>
  <w:style w:type="character" w:customStyle="1" w:styleId="263">
    <w:name w:val="font151"/>
    <w:basedOn w:val="46"/>
    <w:qFormat/>
    <w:uiPriority w:val="0"/>
    <w:rPr>
      <w:rFonts w:hint="eastAsia" w:ascii="宋体" w:hAnsi="宋体" w:eastAsia="宋体" w:cs="宋体"/>
      <w:color w:val="000000"/>
      <w:sz w:val="22"/>
      <w:szCs w:val="22"/>
      <w:u w:val="none"/>
    </w:rPr>
  </w:style>
  <w:style w:type="paragraph" w:customStyle="1" w:styleId="264">
    <w:name w:val="All Caps Heading"/>
    <w:basedOn w:val="1"/>
    <w:qFormat/>
    <w:uiPriority w:val="99"/>
    <w:pPr>
      <w:widowControl/>
      <w:jc w:val="left"/>
    </w:pPr>
    <w:rPr>
      <w:rFonts w:ascii="Tahoma" w:hAnsi="Tahoma" w:eastAsia="Times New Roman" w:cs="Tahoma"/>
      <w:b/>
      <w:caps/>
      <w:color w:val="808080"/>
      <w:spacing w:val="4"/>
      <w:kern w:val="0"/>
      <w:sz w:val="14"/>
      <w:szCs w:val="14"/>
      <w:lang w:val="zh-CN" w:bidi="zh-CN"/>
      <w14:ligatures w14:val="none"/>
    </w:rPr>
  </w:style>
  <w:style w:type="character" w:customStyle="1" w:styleId="265">
    <w:name w:val="font141"/>
    <w:basedOn w:val="46"/>
    <w:qFormat/>
    <w:uiPriority w:val="0"/>
    <w:rPr>
      <w:rFonts w:hint="eastAsia" w:ascii="宋体" w:hAnsi="宋体" w:eastAsia="宋体" w:cs="宋体"/>
      <w:color w:val="000000"/>
      <w:sz w:val="24"/>
      <w:szCs w:val="24"/>
      <w:u w:val="none"/>
    </w:rPr>
  </w:style>
  <w:style w:type="paragraph" w:customStyle="1" w:styleId="266">
    <w:name w:val="塔河正文序号1）"/>
    <w:basedOn w:val="1"/>
    <w:qFormat/>
    <w:uiPriority w:val="99"/>
    <w:pPr>
      <w:widowControl/>
      <w:tabs>
        <w:tab w:val="left" w:pos="720"/>
      </w:tabs>
      <w:spacing w:line="360" w:lineRule="auto"/>
      <w:ind w:left="720"/>
      <w:jc w:val="left"/>
    </w:pPr>
    <w:rPr>
      <w:rFonts w:ascii="宋体" w:hAnsi="宋体" w:cs="Times New Roman"/>
      <w:kern w:val="0"/>
      <w:szCs w:val="21"/>
      <w14:ligatures w14:val="none"/>
    </w:rPr>
  </w:style>
  <w:style w:type="character" w:customStyle="1" w:styleId="267">
    <w:name w:val="font31"/>
    <w:basedOn w:val="46"/>
    <w:qFormat/>
    <w:uiPriority w:val="0"/>
    <w:rPr>
      <w:rFonts w:hint="eastAsia" w:ascii="宋体" w:hAnsi="宋体" w:eastAsia="宋体" w:cs="宋体"/>
      <w:color w:val="000000"/>
      <w:sz w:val="24"/>
      <w:szCs w:val="24"/>
      <w:u w:val="none"/>
    </w:rPr>
  </w:style>
  <w:style w:type="character" w:customStyle="1" w:styleId="268">
    <w:name w:val="明显强调11"/>
    <w:qFormat/>
    <w:uiPriority w:val="21"/>
    <w:rPr>
      <w:b/>
      <w:i/>
      <w:sz w:val="24"/>
      <w:szCs w:val="24"/>
      <w:u w:val="single"/>
    </w:rPr>
  </w:style>
  <w:style w:type="character" w:customStyle="1" w:styleId="269">
    <w:name w:val="16"/>
    <w:basedOn w:val="46"/>
    <w:qFormat/>
    <w:uiPriority w:val="0"/>
    <w:rPr>
      <w:rFonts w:hint="default" w:ascii="等线" w:hAnsi="等线" w:eastAsia="等线" w:cs="等线"/>
      <w:color w:val="0000FF"/>
      <w:sz w:val="20"/>
      <w:szCs w:val="20"/>
    </w:rPr>
  </w:style>
  <w:style w:type="character" w:customStyle="1" w:styleId="270">
    <w:name w:val="书籍标题1"/>
    <w:qFormat/>
    <w:uiPriority w:val="33"/>
    <w:rPr>
      <w:rFonts w:ascii="Cambria" w:hAnsi="Cambria" w:eastAsia="宋体"/>
      <w:b/>
      <w:i/>
      <w:sz w:val="24"/>
      <w:szCs w:val="24"/>
    </w:rPr>
  </w:style>
  <w:style w:type="paragraph" w:customStyle="1" w:styleId="271">
    <w:name w:val="修订2"/>
    <w:hidden/>
    <w:unhideWhenUsed/>
    <w:qFormat/>
    <w:uiPriority w:val="99"/>
    <w:pPr>
      <w:spacing w:after="0" w:line="240" w:lineRule="auto"/>
    </w:pPr>
    <w:rPr>
      <w:rFonts w:ascii="Times New Roman" w:hAnsi="Times New Roman" w:eastAsia="宋体" w:cstheme="minorBidi"/>
      <w:kern w:val="2"/>
      <w:sz w:val="24"/>
      <w:szCs w:val="22"/>
      <w:lang w:val="en-US" w:eastAsia="zh-CN" w:bidi="ar-SA"/>
    </w:rPr>
  </w:style>
  <w:style w:type="character" w:customStyle="1" w:styleId="272">
    <w:name w:val="未处理的提及6"/>
    <w:basedOn w:val="46"/>
    <w:semiHidden/>
    <w:unhideWhenUsed/>
    <w:qFormat/>
    <w:uiPriority w:val="99"/>
    <w:rPr>
      <w:color w:val="605E5C"/>
      <w:shd w:val="clear" w:color="auto" w:fill="E1DFDD"/>
    </w:rPr>
  </w:style>
  <w:style w:type="paragraph" w:customStyle="1" w:styleId="273">
    <w:name w:val="(sun)正文一级"/>
    <w:basedOn w:val="1"/>
    <w:link w:val="274"/>
    <w:qFormat/>
    <w:uiPriority w:val="0"/>
    <w:pPr>
      <w:spacing w:after="120" w:line="360" w:lineRule="auto"/>
      <w:ind w:firstLine="480" w:firstLineChars="200"/>
    </w:pPr>
    <w:rPr>
      <w:rFonts w:ascii="宋体" w:hAnsi="宋体" w:cs="Times New Roman"/>
      <w:kern w:val="28"/>
      <w:szCs w:val="20"/>
      <w14:ligatures w14:val="none"/>
    </w:rPr>
  </w:style>
  <w:style w:type="character" w:customStyle="1" w:styleId="274">
    <w:name w:val="(sun)正文一级 Char"/>
    <w:link w:val="273"/>
    <w:qFormat/>
    <w:uiPriority w:val="0"/>
    <w:rPr>
      <w:rFonts w:ascii="宋体" w:hAnsi="宋体" w:eastAsia="宋体" w:cs="Times New Roman"/>
      <w:kern w:val="28"/>
      <w:sz w:val="24"/>
      <w:szCs w:val="20"/>
      <w14:ligatures w14:val="none"/>
    </w:rPr>
  </w:style>
  <w:style w:type="paragraph" w:customStyle="1" w:styleId="275">
    <w:name w:val="符号2"/>
    <w:qFormat/>
    <w:uiPriority w:val="99"/>
    <w:pPr>
      <w:numPr>
        <w:ilvl w:val="0"/>
        <w:numId w:val="4"/>
      </w:numPr>
      <w:spacing w:after="0" w:line="360" w:lineRule="auto"/>
      <w:contextualSpacing/>
    </w:pPr>
    <w:rPr>
      <w:rFonts w:ascii="Calibri" w:hAnsi="Calibri" w:eastAsia="宋体" w:cs="宋体"/>
      <w:kern w:val="2"/>
      <w:sz w:val="24"/>
      <w:szCs w:val="24"/>
      <w:lang w:val="en-US" w:eastAsia="zh-CN" w:bidi="ar-SA"/>
    </w:rPr>
  </w:style>
  <w:style w:type="paragraph" w:customStyle="1" w:styleId="276">
    <w:name w:val="SANGFOR_6_正文"/>
    <w:basedOn w:val="1"/>
    <w:link w:val="277"/>
    <w:qFormat/>
    <w:uiPriority w:val="0"/>
    <w:pPr>
      <w:spacing w:line="360" w:lineRule="auto"/>
      <w:ind w:left="100" w:leftChars="100" w:right="100" w:rightChars="100"/>
    </w:pPr>
    <w:rPr>
      <w:rFonts w:ascii="宋体" w:hAnsi="宋体" w:eastAsia="微软雅黑" w:cs="Times New Roman"/>
      <w:sz w:val="21"/>
      <w:szCs w:val="21"/>
      <w14:ligatures w14:val="none"/>
    </w:rPr>
  </w:style>
  <w:style w:type="character" w:customStyle="1" w:styleId="277">
    <w:name w:val="SANGFOR_6_正文 Char"/>
    <w:link w:val="276"/>
    <w:qFormat/>
    <w:locked/>
    <w:uiPriority w:val="0"/>
    <w:rPr>
      <w:rFonts w:ascii="宋体" w:hAnsi="宋体" w:eastAsia="微软雅黑" w:cs="Times New Roman"/>
      <w:sz w:val="21"/>
      <w:szCs w:val="21"/>
      <w14:ligatures w14:val="none"/>
    </w:rPr>
  </w:style>
  <w:style w:type="paragraph" w:customStyle="1" w:styleId="278">
    <w:name w:val="`手册正文"/>
    <w:basedOn w:val="1"/>
    <w:qFormat/>
    <w:uiPriority w:val="0"/>
    <w:pPr>
      <w:widowControl/>
      <w:spacing w:before="100" w:beforeAutospacing="1" w:after="100" w:afterAutospacing="1"/>
      <w:ind w:left="240" w:leftChars="100" w:right="240" w:rightChars="100"/>
      <w:jc w:val="left"/>
    </w:pPr>
    <w:rPr>
      <w:rFonts w:ascii="微软雅黑" w:hAnsi="微软雅黑" w:eastAsia="微软雅黑" w:cs="Times New Roman"/>
      <w:szCs w:val="24"/>
      <w14:ligatures w14:val="none"/>
    </w:rPr>
  </w:style>
  <w:style w:type="paragraph" w:customStyle="1" w:styleId="279">
    <w:name w:val="正文_0"/>
    <w:qFormat/>
    <w:uiPriority w:val="0"/>
    <w:pPr>
      <w:spacing w:after="0" w:line="240" w:lineRule="auto"/>
    </w:pPr>
    <w:rPr>
      <w:rFonts w:ascii="Times New Roman" w:hAnsi="Times New Roman" w:eastAsia="宋体" w:cs="Times New Roman"/>
      <w:kern w:val="2"/>
      <w:sz w:val="24"/>
      <w:szCs w:val="24"/>
      <w:lang w:val="en-US" w:eastAsia="zh-CN" w:bidi="mn-Mong-CN"/>
    </w:rPr>
  </w:style>
  <w:style w:type="paragraph" w:customStyle="1" w:styleId="280">
    <w:name w:val="彩色列表 - 强调文字颜色 11"/>
    <w:qFormat/>
    <w:uiPriority w:val="0"/>
    <w:pPr>
      <w:widowControl w:val="0"/>
      <w:spacing w:after="0" w:line="240" w:lineRule="auto"/>
      <w:ind w:firstLine="42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81">
    <w:name w:val="Revision"/>
    <w:hidden/>
    <w:unhideWhenUsed/>
    <w:qFormat/>
    <w:uiPriority w:val="99"/>
    <w:pPr>
      <w:spacing w:after="0" w:line="240" w:lineRule="auto"/>
    </w:pPr>
    <w:rPr>
      <w:rFonts w:eastAsia="宋体" w:asciiTheme="minorHAnsi" w:hAnsiTheme="minorHAnsi" w:cstheme="minorBidi"/>
      <w:kern w:val="2"/>
      <w:sz w:val="24"/>
      <w:szCs w:val="22"/>
      <w:lang w:val="en-US" w:eastAsia="zh-CN" w:bidi="ar-SA"/>
      <w14:ligatures w14:val="standardContextu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50</Pages>
  <Words>3203</Words>
  <Characters>3303</Characters>
  <Lines>227</Lines>
  <Paragraphs>63</Paragraphs>
  <TotalTime>22</TotalTime>
  <ScaleCrop>false</ScaleCrop>
  <LinksUpToDate>false</LinksUpToDate>
  <CharactersWithSpaces>3323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2026-05-25T03:00:00Z</dcterms:created>
  <dc:creator>凯 从</dc:creator>
  <cp:lastModifiedBy>Lin</cp:lastModifiedBy>
  <dcterms:modified xsi:type="dcterms:W3CDTF">2026-06-12T01:14:05Z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eyJoZGlkIjoiNzJiNWQ2NDYxNjMyZjMyNjg5NzU4Mzk3MzM0YTk1ODQiLCJ1c2VySWQiOiI2NzI5MTcyNDcifQ==</vt:lpwstr>
  </property>
  <property fmtid="{D5CDD505-2E9C-101B-9397-08002B2CF9AE}" pid="3" name="KSOProductBuildVer">
    <vt:lpwstr>2052-12.1.0.26895</vt:lpwstr>
  </property>
  <property fmtid="{D5CDD505-2E9C-101B-9397-08002B2CF9AE}" pid="4" name="ICV">
    <vt:lpwstr>D22F649477D84EC7AF5C44F6C6498435_13</vt:lpwstr>
  </property>
</Properties>
</file>